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F1F2" w14:textId="77777777" w:rsidR="002369BF" w:rsidRDefault="002369BF" w:rsidP="00CD113F">
      <w:pPr>
        <w:spacing w:after="240"/>
        <w:ind w:left="6372"/>
        <w:rPr>
          <w:sz w:val="22"/>
        </w:rPr>
      </w:pPr>
    </w:p>
    <w:p w14:paraId="1F1AF237" w14:textId="77777777" w:rsidR="00175C4D" w:rsidRDefault="00175C4D" w:rsidP="00CD113F">
      <w:pPr>
        <w:spacing w:after="240"/>
        <w:ind w:left="6372"/>
        <w:rPr>
          <w:sz w:val="22"/>
        </w:rPr>
      </w:pPr>
    </w:p>
    <w:p w14:paraId="716C7A69" w14:textId="7D9B946D" w:rsidR="002D190A" w:rsidRDefault="002D190A" w:rsidP="00CD113F">
      <w:pPr>
        <w:spacing w:after="240"/>
        <w:ind w:left="6372"/>
        <w:rPr>
          <w:sz w:val="22"/>
        </w:rPr>
      </w:pPr>
      <w:r>
        <w:rPr>
          <w:sz w:val="22"/>
        </w:rPr>
        <w:t>Warszawa,</w:t>
      </w:r>
      <w:r w:rsidR="00B627CF">
        <w:rPr>
          <w:sz w:val="22"/>
        </w:rPr>
        <w:t xml:space="preserve"> </w:t>
      </w:r>
      <w:r w:rsidR="00BA745A">
        <w:rPr>
          <w:sz w:val="22"/>
        </w:rPr>
        <w:t>2</w:t>
      </w:r>
      <w:r w:rsidR="00446BEC">
        <w:rPr>
          <w:sz w:val="22"/>
        </w:rPr>
        <w:t>8</w:t>
      </w:r>
      <w:r w:rsidR="00830DBF">
        <w:rPr>
          <w:sz w:val="22"/>
        </w:rPr>
        <w:t>.02</w:t>
      </w:r>
      <w:r>
        <w:rPr>
          <w:sz w:val="22"/>
        </w:rPr>
        <w:t>.202</w:t>
      </w:r>
      <w:r w:rsidR="00830DBF">
        <w:rPr>
          <w:sz w:val="22"/>
        </w:rPr>
        <w:t>3</w:t>
      </w:r>
      <w:r w:rsidR="00B627CF">
        <w:rPr>
          <w:sz w:val="22"/>
        </w:rPr>
        <w:t xml:space="preserve"> </w:t>
      </w:r>
      <w:r>
        <w:rPr>
          <w:sz w:val="22"/>
        </w:rPr>
        <w:t>r.</w:t>
      </w:r>
      <w:r w:rsidR="00B627CF">
        <w:rPr>
          <w:sz w:val="22"/>
        </w:rPr>
        <w:t xml:space="preserve"> </w:t>
      </w:r>
    </w:p>
    <w:p w14:paraId="30167907" w14:textId="77777777" w:rsidR="00175C4D" w:rsidRDefault="00175C4D" w:rsidP="002D190A">
      <w:pPr>
        <w:spacing w:after="240"/>
        <w:rPr>
          <w:sz w:val="34"/>
          <w:szCs w:val="34"/>
        </w:rPr>
      </w:pPr>
    </w:p>
    <w:p w14:paraId="1457A4B8" w14:textId="59536400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</w:t>
      </w:r>
      <w:r w:rsidR="00B627CF">
        <w:rPr>
          <w:sz w:val="34"/>
          <w:szCs w:val="34"/>
        </w:rPr>
        <w:t xml:space="preserve"> </w:t>
      </w:r>
      <w:r w:rsidRPr="002D190A">
        <w:rPr>
          <w:sz w:val="34"/>
          <w:szCs w:val="34"/>
        </w:rPr>
        <w:t>PRASOWA</w:t>
      </w:r>
      <w:r>
        <w:rPr>
          <w:sz w:val="34"/>
          <w:szCs w:val="34"/>
        </w:rPr>
        <w:br/>
        <w:t>…………………………………….</w:t>
      </w:r>
    </w:p>
    <w:p w14:paraId="22A60881" w14:textId="057F6ABA" w:rsidR="00830DBF" w:rsidRPr="00830DBF" w:rsidRDefault="00830DBF" w:rsidP="00830DBF">
      <w:pPr>
        <w:rPr>
          <w:b/>
          <w:bCs/>
          <w:sz w:val="28"/>
          <w:szCs w:val="28"/>
        </w:rPr>
      </w:pPr>
      <w:r w:rsidRPr="00830DBF">
        <w:rPr>
          <w:b/>
          <w:bCs/>
          <w:sz w:val="28"/>
          <w:szCs w:val="28"/>
        </w:rPr>
        <w:t xml:space="preserve">Stanowisko SGH i BIK w sprawie rozważnego </w:t>
      </w:r>
      <w:r w:rsidR="00586816">
        <w:rPr>
          <w:b/>
          <w:bCs/>
          <w:sz w:val="28"/>
          <w:szCs w:val="28"/>
        </w:rPr>
        <w:t xml:space="preserve">i odpowiedzialnego </w:t>
      </w:r>
      <w:r w:rsidRPr="00830DBF">
        <w:rPr>
          <w:b/>
          <w:bCs/>
          <w:sz w:val="28"/>
          <w:szCs w:val="28"/>
        </w:rPr>
        <w:t xml:space="preserve">korzystania z </w:t>
      </w:r>
      <w:r w:rsidR="00A244C4">
        <w:rPr>
          <w:b/>
          <w:bCs/>
          <w:sz w:val="28"/>
          <w:szCs w:val="28"/>
        </w:rPr>
        <w:t>opcji „</w:t>
      </w:r>
      <w:r w:rsidR="00A244C4" w:rsidRPr="00BA745A">
        <w:rPr>
          <w:b/>
          <w:bCs/>
          <w:sz w:val="28"/>
          <w:szCs w:val="28"/>
        </w:rPr>
        <w:t>Kup teraz, zapłać później"</w:t>
      </w:r>
    </w:p>
    <w:p w14:paraId="51CACF5D" w14:textId="77777777" w:rsidR="009E5226" w:rsidRDefault="009E5226" w:rsidP="009E5226">
      <w:pPr>
        <w:jc w:val="both"/>
        <w:rPr>
          <w:rFonts w:eastAsiaTheme="majorEastAsia" w:cstheme="majorBidi"/>
          <w:b/>
          <w:bCs/>
          <w:color w:val="auto"/>
          <w:sz w:val="28"/>
          <w:szCs w:val="28"/>
          <w:lang w:eastAsia="pl-PL"/>
        </w:rPr>
      </w:pPr>
    </w:p>
    <w:p w14:paraId="77B6ED81" w14:textId="58F60A64" w:rsidR="004C32AB" w:rsidRPr="009C47B0" w:rsidRDefault="004C32AB" w:rsidP="004C32AB">
      <w:pPr>
        <w:jc w:val="both"/>
        <w:rPr>
          <w:rFonts w:cstheme="minorHAnsi"/>
          <w:b/>
          <w:bCs/>
          <w:sz w:val="22"/>
        </w:rPr>
      </w:pPr>
      <w:bookmarkStart w:id="0" w:name="_Hlk127798147"/>
      <w:r>
        <w:rPr>
          <w:rFonts w:cstheme="minorHAnsi"/>
          <w:b/>
          <w:bCs/>
          <w:sz w:val="22"/>
        </w:rPr>
        <w:t>Płatności</w:t>
      </w:r>
      <w:r w:rsidRPr="00830DBF">
        <w:rPr>
          <w:rFonts w:cstheme="minorHAnsi"/>
          <w:b/>
          <w:bCs/>
          <w:sz w:val="22"/>
        </w:rPr>
        <w:t xml:space="preserve"> odroczon</w:t>
      </w:r>
      <w:r>
        <w:rPr>
          <w:rFonts w:cstheme="minorHAnsi"/>
          <w:b/>
          <w:bCs/>
          <w:sz w:val="22"/>
        </w:rPr>
        <w:t>e</w:t>
      </w:r>
      <w:r w:rsidRPr="00830DBF">
        <w:rPr>
          <w:rFonts w:cstheme="minorHAnsi"/>
          <w:b/>
          <w:bCs/>
          <w:sz w:val="22"/>
        </w:rPr>
        <w:t xml:space="preserve"> </w:t>
      </w:r>
      <w:r>
        <w:rPr>
          <w:rFonts w:cstheme="minorHAnsi"/>
          <w:b/>
          <w:bCs/>
          <w:sz w:val="22"/>
        </w:rPr>
        <w:t>tzw. BNPL (Buy Now</w:t>
      </w:r>
      <w:r w:rsidR="00935AF4">
        <w:rPr>
          <w:rFonts w:cstheme="minorHAnsi"/>
          <w:b/>
          <w:bCs/>
          <w:sz w:val="22"/>
        </w:rPr>
        <w:t>,</w:t>
      </w:r>
      <w:r>
        <w:rPr>
          <w:rFonts w:cstheme="minorHAnsi"/>
          <w:b/>
          <w:bCs/>
          <w:sz w:val="22"/>
        </w:rPr>
        <w:t xml:space="preserve"> Pay Later czyli „</w:t>
      </w:r>
      <w:r w:rsidRPr="00830DBF">
        <w:rPr>
          <w:rFonts w:cstheme="minorHAnsi"/>
          <w:b/>
          <w:bCs/>
          <w:sz w:val="22"/>
        </w:rPr>
        <w:t>Kup teraz, zapłać później”</w:t>
      </w:r>
      <w:r>
        <w:rPr>
          <w:rFonts w:cstheme="minorHAnsi"/>
          <w:b/>
          <w:bCs/>
          <w:sz w:val="22"/>
        </w:rPr>
        <w:t xml:space="preserve">) zyskują coraz większą popularność wśród klientów </w:t>
      </w:r>
      <w:r w:rsidRPr="00830DBF">
        <w:rPr>
          <w:rFonts w:cstheme="minorHAnsi"/>
          <w:b/>
          <w:bCs/>
          <w:sz w:val="22"/>
        </w:rPr>
        <w:t xml:space="preserve">sklepów internetowych. </w:t>
      </w:r>
      <w:r>
        <w:rPr>
          <w:rFonts w:cstheme="minorHAnsi"/>
          <w:b/>
          <w:bCs/>
          <w:sz w:val="22"/>
        </w:rPr>
        <w:t>Zwolenników tego rozwiązania przekonuje przede wszystkim możliwość odłożenia przelewu w czasie i sposobność do zrobienia większych zakupów. Zalet BNPL jest więcej, ale mimo licznych dogodności nie da się w ten sposób kupować za darmo. P</w:t>
      </w:r>
      <w:r w:rsidRPr="00830DBF">
        <w:rPr>
          <w:rFonts w:cstheme="minorHAnsi"/>
          <w:b/>
          <w:bCs/>
          <w:sz w:val="22"/>
        </w:rPr>
        <w:t xml:space="preserve">łatności odroczone </w:t>
      </w:r>
      <w:r>
        <w:rPr>
          <w:rFonts w:cstheme="minorHAnsi"/>
          <w:b/>
          <w:bCs/>
          <w:sz w:val="22"/>
        </w:rPr>
        <w:t>to po prostu</w:t>
      </w:r>
      <w:r w:rsidRPr="00830DBF">
        <w:rPr>
          <w:rFonts w:cstheme="minorHAnsi"/>
          <w:b/>
          <w:bCs/>
          <w:sz w:val="22"/>
        </w:rPr>
        <w:t xml:space="preserve"> form</w:t>
      </w:r>
      <w:r>
        <w:rPr>
          <w:rFonts w:cstheme="minorHAnsi"/>
          <w:b/>
          <w:bCs/>
          <w:sz w:val="22"/>
        </w:rPr>
        <w:t>a</w:t>
      </w:r>
      <w:r w:rsidRPr="00830DBF">
        <w:rPr>
          <w:rFonts w:cstheme="minorHAnsi"/>
          <w:b/>
          <w:bCs/>
          <w:sz w:val="22"/>
        </w:rPr>
        <w:t xml:space="preserve"> kredytowania</w:t>
      </w:r>
      <w:r>
        <w:rPr>
          <w:rFonts w:cstheme="minorHAnsi"/>
          <w:b/>
          <w:bCs/>
          <w:sz w:val="22"/>
        </w:rPr>
        <w:t xml:space="preserve">, która może wpłynąć na historię kredytową konsumenta. Warto do niej podchodzić ostrożnie i </w:t>
      </w:r>
      <w:r w:rsidRPr="00830DBF">
        <w:rPr>
          <w:rFonts w:cstheme="minorHAnsi"/>
          <w:b/>
          <w:bCs/>
          <w:sz w:val="22"/>
        </w:rPr>
        <w:t>uważać, aby nie wpaść w pętlę zadłużenia</w:t>
      </w:r>
      <w:r>
        <w:rPr>
          <w:rFonts w:cstheme="minorHAnsi"/>
          <w:b/>
          <w:bCs/>
          <w:sz w:val="22"/>
        </w:rPr>
        <w:t xml:space="preserve">, co już zdarza się Amerykanom, Brytyjczykom czy Australijczykom. </w:t>
      </w:r>
    </w:p>
    <w:p w14:paraId="79989201" w14:textId="62848CEF" w:rsidR="004C32AB" w:rsidRDefault="004C32AB" w:rsidP="009810E3">
      <w:pPr>
        <w:jc w:val="both"/>
        <w:rPr>
          <w:rFonts w:cstheme="minorHAnsi"/>
          <w:b/>
          <w:bCs/>
          <w:sz w:val="22"/>
        </w:rPr>
      </w:pPr>
    </w:p>
    <w:bookmarkEnd w:id="0"/>
    <w:p w14:paraId="7C09EEA3" w14:textId="67A15034" w:rsidR="008230A7" w:rsidRDefault="00830DBF" w:rsidP="00830DBF">
      <w:pPr>
        <w:jc w:val="both"/>
        <w:rPr>
          <w:rFonts w:cstheme="minorHAnsi"/>
          <w:sz w:val="22"/>
        </w:rPr>
      </w:pPr>
      <w:r w:rsidRPr="00830DBF">
        <w:rPr>
          <w:rFonts w:cstheme="minorHAnsi"/>
          <w:sz w:val="22"/>
        </w:rPr>
        <w:t>Część płatności odroczonych</w:t>
      </w:r>
      <w:r w:rsidR="00586816">
        <w:rPr>
          <w:rFonts w:cstheme="minorHAnsi"/>
          <w:sz w:val="22"/>
        </w:rPr>
        <w:t>, które nie zostały w całości zapłacone w okresie bezodsetkowym</w:t>
      </w:r>
      <w:r w:rsidR="00E2409C">
        <w:rPr>
          <w:rFonts w:cstheme="minorHAnsi"/>
          <w:sz w:val="22"/>
        </w:rPr>
        <w:t>, w</w:t>
      </w:r>
      <w:r w:rsidR="003302A6">
        <w:rPr>
          <w:rFonts w:cstheme="minorHAnsi"/>
          <w:sz w:val="22"/>
        </w:rPr>
        <w:t xml:space="preserve">ynoszącym </w:t>
      </w:r>
      <w:r w:rsidR="00586816">
        <w:rPr>
          <w:rFonts w:cstheme="minorHAnsi"/>
          <w:sz w:val="22"/>
        </w:rPr>
        <w:t>zazwyczaj 30 dni, przekształca się w</w:t>
      </w:r>
      <w:r w:rsidRPr="00830DBF">
        <w:rPr>
          <w:rFonts w:cstheme="minorHAnsi"/>
          <w:sz w:val="22"/>
        </w:rPr>
        <w:t xml:space="preserve"> </w:t>
      </w:r>
      <w:r w:rsidR="00586816">
        <w:rPr>
          <w:rFonts w:cstheme="minorHAnsi"/>
          <w:sz w:val="22"/>
        </w:rPr>
        <w:t>kredyt rataln</w:t>
      </w:r>
      <w:r w:rsidR="00233D95">
        <w:rPr>
          <w:rFonts w:cstheme="minorHAnsi"/>
          <w:sz w:val="22"/>
        </w:rPr>
        <w:t>y</w:t>
      </w:r>
      <w:r w:rsidRPr="00830DBF">
        <w:rPr>
          <w:rFonts w:cstheme="minorHAnsi"/>
          <w:sz w:val="22"/>
        </w:rPr>
        <w:t xml:space="preserve">. </w:t>
      </w:r>
      <w:r w:rsidR="00233D95">
        <w:rPr>
          <w:rFonts w:cstheme="minorHAnsi"/>
          <w:sz w:val="22"/>
        </w:rPr>
        <w:t>Według danych BIK, w zeszłym roku liczba kredytów ratalnych wzrosła o 1/3, właśnie w rezultacie rosnącego wykorzystania BNPL</w:t>
      </w:r>
      <w:r w:rsidRPr="00830DBF">
        <w:rPr>
          <w:rFonts w:cstheme="minorHAnsi"/>
          <w:sz w:val="22"/>
        </w:rPr>
        <w:t>. BIK przewiduje</w:t>
      </w:r>
      <w:r w:rsidR="008230A7">
        <w:rPr>
          <w:rFonts w:cstheme="minorHAnsi"/>
          <w:sz w:val="22"/>
        </w:rPr>
        <w:t xml:space="preserve"> na </w:t>
      </w:r>
      <w:r w:rsidRPr="00830DBF">
        <w:rPr>
          <w:rFonts w:cstheme="minorHAnsi"/>
          <w:sz w:val="22"/>
        </w:rPr>
        <w:t>2023 r.</w:t>
      </w:r>
      <w:r w:rsidR="00233D95">
        <w:rPr>
          <w:rFonts w:cstheme="minorHAnsi"/>
          <w:sz w:val="22"/>
        </w:rPr>
        <w:t xml:space="preserve"> dalsz</w:t>
      </w:r>
      <w:r w:rsidR="00D10051">
        <w:rPr>
          <w:rFonts w:cstheme="minorHAnsi"/>
          <w:sz w:val="22"/>
        </w:rPr>
        <w:t>y</w:t>
      </w:r>
      <w:r w:rsidR="00233D95">
        <w:rPr>
          <w:rFonts w:cstheme="minorHAnsi"/>
          <w:sz w:val="22"/>
        </w:rPr>
        <w:t xml:space="preserve"> </w:t>
      </w:r>
      <w:r w:rsidR="00D10051">
        <w:rPr>
          <w:rFonts w:cstheme="minorHAnsi"/>
          <w:sz w:val="22"/>
        </w:rPr>
        <w:t xml:space="preserve">wzrost </w:t>
      </w:r>
      <w:r w:rsidR="00233D95">
        <w:rPr>
          <w:rFonts w:cstheme="minorHAnsi"/>
          <w:sz w:val="22"/>
        </w:rPr>
        <w:t xml:space="preserve">liczby kredytów </w:t>
      </w:r>
      <w:r w:rsidR="008230A7">
        <w:rPr>
          <w:rFonts w:cstheme="minorHAnsi"/>
          <w:sz w:val="22"/>
        </w:rPr>
        <w:t xml:space="preserve">ratalnych jak również ich </w:t>
      </w:r>
      <w:r w:rsidRPr="00830DBF">
        <w:rPr>
          <w:rFonts w:cstheme="minorHAnsi"/>
          <w:sz w:val="22"/>
        </w:rPr>
        <w:t>wartoś</w:t>
      </w:r>
      <w:r w:rsidR="00233D95">
        <w:rPr>
          <w:rFonts w:cstheme="minorHAnsi"/>
          <w:sz w:val="22"/>
        </w:rPr>
        <w:t>ci</w:t>
      </w:r>
      <w:r w:rsidR="008230A7">
        <w:rPr>
          <w:rFonts w:cstheme="minorHAnsi"/>
          <w:sz w:val="22"/>
        </w:rPr>
        <w:t xml:space="preserve">, m.in. dzięki </w:t>
      </w:r>
      <w:r w:rsidR="00E2409C">
        <w:rPr>
          <w:rFonts w:cstheme="minorHAnsi"/>
          <w:sz w:val="22"/>
        </w:rPr>
        <w:t xml:space="preserve">otwarciu się klientów </w:t>
      </w:r>
      <w:r w:rsidRPr="00830DBF">
        <w:rPr>
          <w:rFonts w:cstheme="minorHAnsi"/>
          <w:sz w:val="22"/>
        </w:rPr>
        <w:t xml:space="preserve">na </w:t>
      </w:r>
      <w:r w:rsidR="008230A7">
        <w:rPr>
          <w:rFonts w:cstheme="minorHAnsi"/>
          <w:sz w:val="22"/>
        </w:rPr>
        <w:t xml:space="preserve">zakupy, które można </w:t>
      </w:r>
      <w:r w:rsidR="00D31E27">
        <w:rPr>
          <w:rFonts w:cstheme="minorHAnsi"/>
          <w:sz w:val="22"/>
        </w:rPr>
        <w:t xml:space="preserve">zrealizować </w:t>
      </w:r>
      <w:r w:rsidR="008230A7">
        <w:rPr>
          <w:rFonts w:cstheme="minorHAnsi"/>
          <w:sz w:val="22"/>
        </w:rPr>
        <w:t>dziś</w:t>
      </w:r>
      <w:r w:rsidR="00E2409C">
        <w:rPr>
          <w:rFonts w:cstheme="minorHAnsi"/>
          <w:sz w:val="22"/>
        </w:rPr>
        <w:t>,</w:t>
      </w:r>
      <w:r w:rsidR="008230A7">
        <w:rPr>
          <w:rFonts w:cstheme="minorHAnsi"/>
          <w:sz w:val="22"/>
        </w:rPr>
        <w:t xml:space="preserve"> mimo płatności za miesiąc. </w:t>
      </w:r>
    </w:p>
    <w:p w14:paraId="19110FBE" w14:textId="77777777" w:rsidR="00C524B8" w:rsidRDefault="00C524B8" w:rsidP="00830DBF">
      <w:pPr>
        <w:jc w:val="both"/>
        <w:rPr>
          <w:rFonts w:cstheme="minorHAnsi"/>
          <w:sz w:val="22"/>
        </w:rPr>
      </w:pPr>
    </w:p>
    <w:p w14:paraId="4C954EC2" w14:textId="6032A93B" w:rsidR="00CD255C" w:rsidRPr="00C90F2E" w:rsidRDefault="00CD255C" w:rsidP="00CD255C">
      <w:pPr>
        <w:jc w:val="both"/>
        <w:rPr>
          <w:rFonts w:cstheme="minorHAnsi"/>
          <w:sz w:val="22"/>
        </w:rPr>
      </w:pPr>
      <w:r w:rsidRPr="00197383">
        <w:rPr>
          <w:rFonts w:cstheme="minorHAnsi"/>
          <w:i/>
          <w:iCs/>
          <w:sz w:val="22"/>
        </w:rPr>
        <w:t>- Z</w:t>
      </w:r>
      <w:r w:rsidRPr="00E4281B">
        <w:rPr>
          <w:rFonts w:cstheme="minorHAnsi"/>
          <w:i/>
          <w:iCs/>
          <w:sz w:val="22"/>
        </w:rPr>
        <w:t>akup</w:t>
      </w:r>
      <w:r w:rsidRPr="00830DBF">
        <w:rPr>
          <w:rFonts w:cstheme="minorHAnsi"/>
          <w:i/>
          <w:iCs/>
          <w:sz w:val="22"/>
        </w:rPr>
        <w:t xml:space="preserve"> towarów z zastosowaniem późniejszego terminu płatności na niektórych rynkach zagranicznych stanowi już ponad połowę transakcji zakupowych online. „Buy Now, Pay Later”, czyli metoda finansowania zakupów </w:t>
      </w:r>
      <w:r>
        <w:rPr>
          <w:rFonts w:cstheme="minorHAnsi"/>
          <w:i/>
          <w:iCs/>
          <w:sz w:val="22"/>
        </w:rPr>
        <w:t>w sieci</w:t>
      </w:r>
      <w:r w:rsidRPr="00830DBF">
        <w:rPr>
          <w:rFonts w:cstheme="minorHAnsi"/>
          <w:i/>
          <w:iCs/>
          <w:sz w:val="22"/>
        </w:rPr>
        <w:t>, od kilku lat zdobywa coraz większą popularność także w Polsce</w:t>
      </w:r>
      <w:r>
        <w:rPr>
          <w:rFonts w:cstheme="minorHAnsi"/>
          <w:i/>
          <w:iCs/>
          <w:sz w:val="22"/>
        </w:rPr>
        <w:t>, jak wskazują badani</w:t>
      </w:r>
      <w:r w:rsidRPr="002034E4">
        <w:rPr>
          <w:rFonts w:cstheme="minorHAnsi"/>
          <w:i/>
          <w:iCs/>
          <w:sz w:val="22"/>
        </w:rPr>
        <w:t>a, skorzystało z niej 15</w:t>
      </w:r>
      <w:r>
        <w:rPr>
          <w:rFonts w:cstheme="minorHAnsi"/>
          <w:i/>
          <w:iCs/>
          <w:sz w:val="22"/>
        </w:rPr>
        <w:t xml:space="preserve"> proc.</w:t>
      </w:r>
      <w:r w:rsidRPr="002034E4">
        <w:rPr>
          <w:rFonts w:cstheme="minorHAnsi"/>
          <w:i/>
          <w:iCs/>
          <w:sz w:val="22"/>
        </w:rPr>
        <w:t xml:space="preserve"> polskich klientów, kup</w:t>
      </w:r>
      <w:r>
        <w:rPr>
          <w:rFonts w:cstheme="minorHAnsi"/>
          <w:i/>
          <w:iCs/>
          <w:sz w:val="22"/>
        </w:rPr>
        <w:t xml:space="preserve">ujących </w:t>
      </w:r>
      <w:r w:rsidRPr="002034E4">
        <w:rPr>
          <w:rFonts w:cstheme="minorHAnsi"/>
          <w:i/>
          <w:iCs/>
          <w:sz w:val="22"/>
        </w:rPr>
        <w:t xml:space="preserve">online. Aż jedna piąta z nich wykorzystuje tę metodę, by zamawiać więcej produktów </w:t>
      </w:r>
      <w:r w:rsidRPr="00C90F2E">
        <w:rPr>
          <w:rFonts w:cstheme="minorHAnsi"/>
          <w:sz w:val="22"/>
        </w:rPr>
        <w:t xml:space="preserve">– zwraca uwagę </w:t>
      </w:r>
      <w:r w:rsidRPr="00C90F2E">
        <w:rPr>
          <w:rFonts w:cstheme="minorHAnsi"/>
          <w:b/>
          <w:bCs/>
          <w:sz w:val="22"/>
        </w:rPr>
        <w:t>dr hab. Piotr Wachowiak, prof. SGH, rektor Szkoły Głównej Handlowej w Warszawie</w:t>
      </w:r>
      <w:r w:rsidRPr="00C90F2E">
        <w:rPr>
          <w:rFonts w:cstheme="minorHAnsi"/>
          <w:sz w:val="22"/>
        </w:rPr>
        <w:t xml:space="preserve">. </w:t>
      </w:r>
    </w:p>
    <w:p w14:paraId="7D257A42" w14:textId="77777777" w:rsidR="00CD255C" w:rsidRDefault="00CD255C" w:rsidP="00830DBF">
      <w:pPr>
        <w:jc w:val="both"/>
        <w:rPr>
          <w:rFonts w:cstheme="minorHAnsi"/>
          <w:sz w:val="22"/>
        </w:rPr>
      </w:pPr>
    </w:p>
    <w:p w14:paraId="60A349C7" w14:textId="77777777" w:rsidR="00197383" w:rsidRDefault="00830DBF" w:rsidP="00660108">
      <w:pPr>
        <w:jc w:val="both"/>
        <w:rPr>
          <w:rFonts w:cstheme="minorHAnsi"/>
          <w:sz w:val="22"/>
        </w:rPr>
      </w:pPr>
      <w:r w:rsidRPr="00830DBF">
        <w:rPr>
          <w:rFonts w:cstheme="minorHAnsi"/>
          <w:sz w:val="22"/>
        </w:rPr>
        <w:t xml:space="preserve">Formuła „Kup teraz, zapłać później” stwarza konsumentom komfort kupowania. Potwierdza to co druga osoba, korzystająca z możliwości sprawdzenia towaru w domu, bez potrzeby płacenia za niego od razu. </w:t>
      </w:r>
      <w:r w:rsidR="00E4281B">
        <w:rPr>
          <w:rFonts w:cstheme="minorHAnsi"/>
          <w:sz w:val="22"/>
        </w:rPr>
        <w:t xml:space="preserve">Dla co </w:t>
      </w:r>
      <w:r w:rsidR="0060147D">
        <w:rPr>
          <w:rFonts w:cstheme="minorHAnsi"/>
          <w:sz w:val="22"/>
        </w:rPr>
        <w:t>piąt</w:t>
      </w:r>
      <w:r w:rsidR="00E4281B">
        <w:rPr>
          <w:rFonts w:cstheme="minorHAnsi"/>
          <w:sz w:val="22"/>
        </w:rPr>
        <w:t xml:space="preserve">ej jest to okazja by </w:t>
      </w:r>
      <w:r w:rsidR="0060147D">
        <w:rPr>
          <w:rFonts w:cstheme="minorHAnsi"/>
          <w:sz w:val="22"/>
        </w:rPr>
        <w:t>kup</w:t>
      </w:r>
      <w:r w:rsidR="00E4281B">
        <w:rPr>
          <w:rFonts w:cstheme="minorHAnsi"/>
          <w:sz w:val="22"/>
        </w:rPr>
        <w:t>ić</w:t>
      </w:r>
      <w:r w:rsidR="0060147D">
        <w:rPr>
          <w:rFonts w:cstheme="minorHAnsi"/>
          <w:sz w:val="22"/>
        </w:rPr>
        <w:t xml:space="preserve"> więcej</w:t>
      </w:r>
      <w:r w:rsidR="00E4281B">
        <w:rPr>
          <w:rFonts w:cstheme="minorHAnsi"/>
          <w:sz w:val="22"/>
        </w:rPr>
        <w:t>, wynika z badań wśród polskich konsumentów</w:t>
      </w:r>
      <w:r w:rsidR="0060147D">
        <w:rPr>
          <w:rFonts w:cstheme="minorHAnsi"/>
          <w:sz w:val="22"/>
        </w:rPr>
        <w:t xml:space="preserve">. </w:t>
      </w:r>
      <w:r w:rsidR="00621661">
        <w:rPr>
          <w:rFonts w:cstheme="minorHAnsi"/>
          <w:sz w:val="22"/>
        </w:rPr>
        <w:t>Doświadczenia na rynkach zagranicznych wskazują, że choć</w:t>
      </w:r>
      <w:r w:rsidR="00FE6F86">
        <w:rPr>
          <w:rFonts w:cstheme="minorHAnsi"/>
          <w:sz w:val="22"/>
        </w:rPr>
        <w:t xml:space="preserve"> zainteresowanie płatnościami odroczonymi </w:t>
      </w:r>
      <w:r w:rsidR="00621661">
        <w:rPr>
          <w:rFonts w:cstheme="minorHAnsi"/>
          <w:sz w:val="22"/>
        </w:rPr>
        <w:t xml:space="preserve">widać </w:t>
      </w:r>
      <w:r w:rsidR="00FE6F86">
        <w:rPr>
          <w:rFonts w:cstheme="minorHAnsi"/>
          <w:sz w:val="22"/>
        </w:rPr>
        <w:t>w każdej</w:t>
      </w:r>
      <w:r w:rsidR="00FE6F86" w:rsidRPr="00FE6F86">
        <w:rPr>
          <w:rFonts w:cstheme="minorHAnsi"/>
          <w:sz w:val="22"/>
        </w:rPr>
        <w:t xml:space="preserve"> grup</w:t>
      </w:r>
      <w:r w:rsidR="00FE6F86">
        <w:rPr>
          <w:rFonts w:cstheme="minorHAnsi"/>
          <w:sz w:val="22"/>
        </w:rPr>
        <w:t>ie</w:t>
      </w:r>
      <w:r w:rsidR="00FE6F86" w:rsidRPr="00FE6F86">
        <w:rPr>
          <w:rFonts w:cstheme="minorHAnsi"/>
          <w:sz w:val="22"/>
        </w:rPr>
        <w:t xml:space="preserve"> wiekow</w:t>
      </w:r>
      <w:r w:rsidR="00FE6F86">
        <w:rPr>
          <w:rFonts w:cstheme="minorHAnsi"/>
          <w:sz w:val="22"/>
        </w:rPr>
        <w:t>ej</w:t>
      </w:r>
      <w:r w:rsidR="00474331">
        <w:rPr>
          <w:rFonts w:cstheme="minorHAnsi"/>
          <w:sz w:val="22"/>
        </w:rPr>
        <w:t xml:space="preserve">, </w:t>
      </w:r>
      <w:r w:rsidR="00621661">
        <w:rPr>
          <w:rFonts w:cstheme="minorHAnsi"/>
          <w:sz w:val="22"/>
        </w:rPr>
        <w:t>to</w:t>
      </w:r>
      <w:r w:rsidR="00474331">
        <w:rPr>
          <w:rFonts w:cstheme="minorHAnsi"/>
          <w:sz w:val="22"/>
        </w:rPr>
        <w:t xml:space="preserve"> w najwyższym stopniu sięgają po nie </w:t>
      </w:r>
      <w:r w:rsidR="00FE6F86" w:rsidRPr="00FE6F86">
        <w:rPr>
          <w:rFonts w:cstheme="minorHAnsi"/>
          <w:sz w:val="22"/>
        </w:rPr>
        <w:t>młodsi konsumenci, a więc z potencjalnie najmniejszym doświadczeniem w zarządzaniu budżetem domowym.</w:t>
      </w:r>
      <w:r w:rsidR="004C32AB">
        <w:rPr>
          <w:rFonts w:cstheme="minorHAnsi"/>
          <w:sz w:val="22"/>
        </w:rPr>
        <w:t xml:space="preserve"> </w:t>
      </w:r>
    </w:p>
    <w:p w14:paraId="319F4C3E" w14:textId="77777777" w:rsidR="00197383" w:rsidRDefault="00197383" w:rsidP="00660108">
      <w:pPr>
        <w:jc w:val="both"/>
        <w:rPr>
          <w:rFonts w:cstheme="minorHAnsi"/>
          <w:sz w:val="22"/>
        </w:rPr>
      </w:pPr>
    </w:p>
    <w:p w14:paraId="52FD6402" w14:textId="254C55BA" w:rsidR="007558C9" w:rsidRDefault="004C32AB" w:rsidP="00660108">
      <w:pPr>
        <w:jc w:val="both"/>
        <w:rPr>
          <w:rFonts w:cstheme="minorHAnsi"/>
          <w:sz w:val="22"/>
        </w:rPr>
      </w:pPr>
      <w:bookmarkStart w:id="1" w:name="_Hlk127798174"/>
      <w:r>
        <w:rPr>
          <w:rFonts w:cstheme="minorHAnsi"/>
          <w:sz w:val="22"/>
        </w:rPr>
        <w:t xml:space="preserve">- </w:t>
      </w:r>
      <w:r w:rsidRPr="00197383">
        <w:rPr>
          <w:rFonts w:cstheme="minorHAnsi"/>
          <w:i/>
          <w:iCs/>
          <w:sz w:val="22"/>
        </w:rPr>
        <w:t>I zwykle jeszcze bez widocznej w BIK historii kredytowej</w:t>
      </w:r>
      <w:r>
        <w:rPr>
          <w:rFonts w:cstheme="minorHAnsi"/>
          <w:i/>
          <w:iCs/>
          <w:sz w:val="22"/>
        </w:rPr>
        <w:t xml:space="preserve">. BNPL może okazać się dla nich dobrą sposobnością, aby </w:t>
      </w:r>
      <w:r w:rsidR="00E4281B">
        <w:rPr>
          <w:rFonts w:cstheme="minorHAnsi"/>
          <w:i/>
          <w:iCs/>
          <w:sz w:val="22"/>
        </w:rPr>
        <w:t xml:space="preserve">taką </w:t>
      </w:r>
      <w:r w:rsidR="007558C9">
        <w:rPr>
          <w:rFonts w:cstheme="minorHAnsi"/>
          <w:i/>
          <w:iCs/>
          <w:sz w:val="22"/>
        </w:rPr>
        <w:t>pozytywną historię kredytową</w:t>
      </w:r>
      <w:r w:rsidR="00E4281B">
        <w:rPr>
          <w:rFonts w:cstheme="minorHAnsi"/>
          <w:i/>
          <w:iCs/>
          <w:sz w:val="22"/>
        </w:rPr>
        <w:t xml:space="preserve"> zbudować</w:t>
      </w:r>
      <w:r>
        <w:rPr>
          <w:rFonts w:cstheme="minorHAnsi"/>
          <w:i/>
          <w:iCs/>
          <w:sz w:val="22"/>
        </w:rPr>
        <w:t>.</w:t>
      </w:r>
      <w:r w:rsidR="00A22134">
        <w:rPr>
          <w:rFonts w:cstheme="minorHAnsi"/>
          <w:i/>
          <w:iCs/>
          <w:sz w:val="22"/>
        </w:rPr>
        <w:t xml:space="preserve"> O ile podejdą do tego rodzaju zakupów z rozwagą</w:t>
      </w:r>
      <w:r w:rsidR="007558C9">
        <w:rPr>
          <w:rFonts w:cstheme="minorHAnsi"/>
          <w:i/>
          <w:iCs/>
          <w:sz w:val="22"/>
        </w:rPr>
        <w:t xml:space="preserve"> </w:t>
      </w:r>
      <w:r w:rsidR="007558C9" w:rsidRPr="00197383">
        <w:rPr>
          <w:rFonts w:cstheme="minorHAnsi"/>
          <w:sz w:val="22"/>
        </w:rPr>
        <w:t>–</w:t>
      </w:r>
      <w:r w:rsidR="007558C9">
        <w:rPr>
          <w:rFonts w:cstheme="minorHAnsi"/>
          <w:i/>
          <w:iCs/>
          <w:sz w:val="22"/>
        </w:rPr>
        <w:t xml:space="preserve"> </w:t>
      </w:r>
      <w:r w:rsidR="00765992">
        <w:rPr>
          <w:rFonts w:cstheme="minorHAnsi"/>
          <w:sz w:val="22"/>
        </w:rPr>
        <w:t>wyjaśnia</w:t>
      </w:r>
      <w:r w:rsidR="007558C9" w:rsidRPr="00830DBF">
        <w:rPr>
          <w:rFonts w:cstheme="minorHAnsi"/>
          <w:sz w:val="22"/>
        </w:rPr>
        <w:t xml:space="preserve"> </w:t>
      </w:r>
      <w:r w:rsidR="007558C9" w:rsidRPr="00C36A17">
        <w:rPr>
          <w:rFonts w:cstheme="minorHAnsi"/>
          <w:b/>
          <w:bCs/>
          <w:sz w:val="22"/>
        </w:rPr>
        <w:t xml:space="preserve">dr </w:t>
      </w:r>
      <w:r w:rsidR="007558C9" w:rsidRPr="00C90F2E">
        <w:rPr>
          <w:rFonts w:cstheme="minorHAnsi"/>
          <w:b/>
          <w:bCs/>
          <w:sz w:val="22"/>
        </w:rPr>
        <w:t>Mariusz Cholewa,</w:t>
      </w:r>
      <w:r w:rsidR="0060147D">
        <w:rPr>
          <w:rFonts w:cstheme="minorHAnsi"/>
          <w:b/>
          <w:bCs/>
          <w:sz w:val="22"/>
        </w:rPr>
        <w:t xml:space="preserve"> </w:t>
      </w:r>
      <w:r w:rsidR="007558C9" w:rsidRPr="00C90F2E">
        <w:rPr>
          <w:rFonts w:cstheme="minorHAnsi"/>
          <w:b/>
          <w:bCs/>
          <w:sz w:val="22"/>
        </w:rPr>
        <w:t>prezes zarządu BIK</w:t>
      </w:r>
      <w:r w:rsidR="007558C9" w:rsidRPr="00830DBF">
        <w:rPr>
          <w:rFonts w:cstheme="minorHAnsi"/>
          <w:sz w:val="22"/>
        </w:rPr>
        <w:t>.</w:t>
      </w:r>
      <w:r w:rsidR="007558C9">
        <w:rPr>
          <w:rFonts w:cstheme="minorHAnsi"/>
          <w:sz w:val="22"/>
        </w:rPr>
        <w:t xml:space="preserve"> </w:t>
      </w:r>
    </w:p>
    <w:p w14:paraId="4BB13DA8" w14:textId="77777777" w:rsidR="00197383" w:rsidRDefault="00197383" w:rsidP="00660108">
      <w:pPr>
        <w:jc w:val="both"/>
        <w:rPr>
          <w:rFonts w:cstheme="minorHAnsi"/>
          <w:sz w:val="22"/>
        </w:rPr>
      </w:pPr>
    </w:p>
    <w:p w14:paraId="1D6EE07D" w14:textId="01CBFCFB" w:rsidR="00830DBF" w:rsidRPr="00175C4D" w:rsidRDefault="00830DBF" w:rsidP="00660108">
      <w:pPr>
        <w:jc w:val="both"/>
        <w:rPr>
          <w:rFonts w:cstheme="minorHAnsi"/>
          <w:i/>
          <w:iCs/>
          <w:sz w:val="22"/>
          <w:highlight w:val="yellow"/>
        </w:rPr>
      </w:pPr>
      <w:bookmarkStart w:id="2" w:name="_Hlk127800393"/>
      <w:r w:rsidRPr="00830DBF">
        <w:rPr>
          <w:rFonts w:cstheme="minorHAnsi"/>
          <w:sz w:val="22"/>
        </w:rPr>
        <w:lastRenderedPageBreak/>
        <w:t xml:space="preserve">- </w:t>
      </w:r>
      <w:r w:rsidR="00621661" w:rsidRPr="00621661">
        <w:rPr>
          <w:rFonts w:cstheme="minorHAnsi"/>
          <w:i/>
          <w:iCs/>
          <w:sz w:val="22"/>
        </w:rPr>
        <w:t>Trzeba</w:t>
      </w:r>
      <w:r w:rsidR="007558C9">
        <w:rPr>
          <w:rFonts w:cstheme="minorHAnsi"/>
          <w:i/>
          <w:iCs/>
          <w:sz w:val="22"/>
        </w:rPr>
        <w:t xml:space="preserve"> </w:t>
      </w:r>
      <w:r w:rsidR="00621661" w:rsidRPr="00621661">
        <w:rPr>
          <w:rFonts w:cstheme="minorHAnsi"/>
          <w:i/>
          <w:iCs/>
          <w:sz w:val="22"/>
        </w:rPr>
        <w:t>pamiętać, że odroczenie płatności to forma finansowania zakupu, która tworzy zobowiązanie po stronie konsumenta</w:t>
      </w:r>
      <w:r w:rsidR="004324F3">
        <w:rPr>
          <w:rFonts w:cstheme="minorHAnsi"/>
          <w:i/>
          <w:iCs/>
          <w:sz w:val="22"/>
        </w:rPr>
        <w:t xml:space="preserve">. </w:t>
      </w:r>
      <w:r w:rsidR="008D0BC9">
        <w:rPr>
          <w:rFonts w:cstheme="minorHAnsi"/>
          <w:i/>
          <w:iCs/>
          <w:sz w:val="22"/>
        </w:rPr>
        <w:t>P</w:t>
      </w:r>
      <w:r w:rsidR="00621661" w:rsidRPr="00621661">
        <w:rPr>
          <w:rFonts w:cstheme="minorHAnsi"/>
          <w:i/>
          <w:iCs/>
          <w:sz w:val="22"/>
        </w:rPr>
        <w:t>o pierwszym darmowym okresie</w:t>
      </w:r>
      <w:r w:rsidR="00091E0F">
        <w:rPr>
          <w:rFonts w:cstheme="minorHAnsi"/>
          <w:i/>
          <w:iCs/>
          <w:sz w:val="22"/>
        </w:rPr>
        <w:t xml:space="preserve"> bezodsetkowym</w:t>
      </w:r>
      <w:r w:rsidR="004324F3">
        <w:rPr>
          <w:rFonts w:cstheme="minorHAnsi"/>
          <w:i/>
          <w:iCs/>
          <w:sz w:val="22"/>
        </w:rPr>
        <w:t xml:space="preserve"> klient </w:t>
      </w:r>
      <w:r w:rsidR="00D10051">
        <w:rPr>
          <w:rFonts w:cstheme="minorHAnsi"/>
          <w:i/>
          <w:iCs/>
          <w:sz w:val="22"/>
        </w:rPr>
        <w:t>może zdecydować o zamianie zobowiązania na kredyt ratalny.</w:t>
      </w:r>
      <w:r w:rsidR="00621661" w:rsidRPr="00621661">
        <w:rPr>
          <w:rFonts w:cstheme="minorHAnsi"/>
          <w:i/>
          <w:iCs/>
          <w:sz w:val="22"/>
        </w:rPr>
        <w:t xml:space="preserve"> </w:t>
      </w:r>
      <w:r w:rsidR="00A22134">
        <w:rPr>
          <w:rFonts w:cstheme="minorHAnsi"/>
          <w:i/>
          <w:iCs/>
          <w:sz w:val="22"/>
        </w:rPr>
        <w:t>Niestety</w:t>
      </w:r>
      <w:r w:rsidR="007558C9">
        <w:rPr>
          <w:rFonts w:cstheme="minorHAnsi"/>
          <w:i/>
          <w:iCs/>
          <w:sz w:val="22"/>
        </w:rPr>
        <w:t>,</w:t>
      </w:r>
      <w:r w:rsidR="00A22134">
        <w:rPr>
          <w:rFonts w:cstheme="minorHAnsi"/>
          <w:i/>
          <w:iCs/>
          <w:sz w:val="22"/>
        </w:rPr>
        <w:t xml:space="preserve"> </w:t>
      </w:r>
      <w:r w:rsidR="008230A7">
        <w:rPr>
          <w:rFonts w:cstheme="minorHAnsi"/>
          <w:i/>
          <w:iCs/>
          <w:sz w:val="22"/>
        </w:rPr>
        <w:t>n</w:t>
      </w:r>
      <w:r w:rsidR="004324F3">
        <w:rPr>
          <w:rFonts w:cstheme="minorHAnsi"/>
          <w:i/>
          <w:iCs/>
          <w:sz w:val="22"/>
        </w:rPr>
        <w:t xml:space="preserve">ie </w:t>
      </w:r>
      <w:r w:rsidR="00A22134">
        <w:rPr>
          <w:rFonts w:cstheme="minorHAnsi"/>
          <w:i/>
          <w:iCs/>
          <w:sz w:val="22"/>
        </w:rPr>
        <w:t xml:space="preserve">wszyscy </w:t>
      </w:r>
      <w:r w:rsidR="004324F3">
        <w:rPr>
          <w:rFonts w:cstheme="minorHAnsi"/>
          <w:i/>
          <w:iCs/>
          <w:sz w:val="22"/>
        </w:rPr>
        <w:t>mają  świadomość</w:t>
      </w:r>
      <w:r w:rsidR="00A22134">
        <w:rPr>
          <w:rFonts w:cstheme="minorHAnsi"/>
          <w:i/>
          <w:iCs/>
          <w:sz w:val="22"/>
        </w:rPr>
        <w:t>, że de facto staj</w:t>
      </w:r>
      <w:r w:rsidR="007558C9">
        <w:rPr>
          <w:rFonts w:cstheme="minorHAnsi"/>
          <w:i/>
          <w:iCs/>
          <w:sz w:val="22"/>
        </w:rPr>
        <w:t>ą</w:t>
      </w:r>
      <w:r w:rsidR="00A22134">
        <w:rPr>
          <w:rFonts w:cstheme="minorHAnsi"/>
          <w:i/>
          <w:iCs/>
          <w:sz w:val="22"/>
        </w:rPr>
        <w:t xml:space="preserve"> się </w:t>
      </w:r>
      <w:r w:rsidR="002D00AF">
        <w:rPr>
          <w:rFonts w:cstheme="minorHAnsi"/>
          <w:i/>
          <w:iCs/>
          <w:sz w:val="22"/>
        </w:rPr>
        <w:t xml:space="preserve">wówczas </w:t>
      </w:r>
      <w:r w:rsidR="00A22134">
        <w:rPr>
          <w:rFonts w:cstheme="minorHAnsi"/>
          <w:i/>
          <w:iCs/>
          <w:sz w:val="22"/>
        </w:rPr>
        <w:t>kredytobiorcami</w:t>
      </w:r>
      <w:r w:rsidR="004324F3">
        <w:rPr>
          <w:rFonts w:cstheme="minorHAnsi"/>
          <w:i/>
          <w:iCs/>
          <w:sz w:val="22"/>
        </w:rPr>
        <w:t xml:space="preserve">. </w:t>
      </w:r>
      <w:bookmarkEnd w:id="2"/>
      <w:r w:rsidR="0046107C">
        <w:rPr>
          <w:rFonts w:cstheme="minorHAnsi"/>
          <w:i/>
          <w:iCs/>
          <w:sz w:val="22"/>
        </w:rPr>
        <w:t>J</w:t>
      </w:r>
      <w:r w:rsidR="000C46AD">
        <w:rPr>
          <w:rFonts w:cstheme="minorHAnsi"/>
          <w:i/>
          <w:iCs/>
          <w:sz w:val="22"/>
        </w:rPr>
        <w:t xml:space="preserve">eśli </w:t>
      </w:r>
      <w:r w:rsidR="007558C9">
        <w:rPr>
          <w:rFonts w:cstheme="minorHAnsi"/>
          <w:i/>
          <w:iCs/>
          <w:sz w:val="22"/>
        </w:rPr>
        <w:t xml:space="preserve">do braku tej świadomości dochodzi duża liczba </w:t>
      </w:r>
      <w:r w:rsidR="000C46AD">
        <w:rPr>
          <w:rFonts w:cstheme="minorHAnsi"/>
          <w:i/>
          <w:iCs/>
          <w:sz w:val="22"/>
        </w:rPr>
        <w:t>t</w:t>
      </w:r>
      <w:r w:rsidR="004324F3">
        <w:rPr>
          <w:rFonts w:cstheme="minorHAnsi"/>
          <w:i/>
          <w:iCs/>
          <w:sz w:val="22"/>
        </w:rPr>
        <w:t>ransakcji</w:t>
      </w:r>
      <w:r w:rsidR="007558C9">
        <w:rPr>
          <w:rFonts w:cstheme="minorHAnsi"/>
          <w:i/>
          <w:iCs/>
          <w:sz w:val="22"/>
        </w:rPr>
        <w:t xml:space="preserve"> BNPL</w:t>
      </w:r>
      <w:r w:rsidR="0046107C">
        <w:rPr>
          <w:rFonts w:cstheme="minorHAnsi"/>
          <w:i/>
          <w:iCs/>
          <w:sz w:val="22"/>
        </w:rPr>
        <w:t xml:space="preserve">, a zakupy </w:t>
      </w:r>
      <w:r w:rsidR="007558C9">
        <w:rPr>
          <w:rFonts w:cstheme="minorHAnsi"/>
          <w:i/>
          <w:iCs/>
          <w:sz w:val="22"/>
        </w:rPr>
        <w:t xml:space="preserve">mają też charakter </w:t>
      </w:r>
      <w:r w:rsidR="0046107C">
        <w:rPr>
          <w:rFonts w:cstheme="minorHAnsi"/>
          <w:i/>
          <w:iCs/>
          <w:sz w:val="22"/>
        </w:rPr>
        <w:t>impulsywn</w:t>
      </w:r>
      <w:r w:rsidR="007558C9">
        <w:rPr>
          <w:rFonts w:cstheme="minorHAnsi"/>
          <w:i/>
          <w:iCs/>
          <w:sz w:val="22"/>
        </w:rPr>
        <w:t>y, łatwo stracić panowanie nad</w:t>
      </w:r>
      <w:r w:rsidR="0046107C">
        <w:rPr>
          <w:rFonts w:cstheme="minorHAnsi"/>
          <w:i/>
          <w:iCs/>
          <w:sz w:val="22"/>
        </w:rPr>
        <w:t xml:space="preserve"> sytuacj</w:t>
      </w:r>
      <w:r w:rsidR="007558C9">
        <w:rPr>
          <w:rFonts w:cstheme="minorHAnsi"/>
          <w:i/>
          <w:iCs/>
          <w:sz w:val="22"/>
        </w:rPr>
        <w:t>ą</w:t>
      </w:r>
      <w:r w:rsidR="0046107C">
        <w:rPr>
          <w:rFonts w:cstheme="minorHAnsi"/>
          <w:i/>
          <w:iCs/>
          <w:sz w:val="22"/>
        </w:rPr>
        <w:t xml:space="preserve">. </w:t>
      </w:r>
      <w:r w:rsidR="00621661">
        <w:rPr>
          <w:rFonts w:cstheme="minorHAnsi"/>
          <w:i/>
          <w:iCs/>
          <w:sz w:val="22"/>
        </w:rPr>
        <w:t>Uczulałbym, zwłaszcza</w:t>
      </w:r>
      <w:r w:rsidR="00474331">
        <w:rPr>
          <w:rFonts w:cstheme="minorHAnsi"/>
          <w:i/>
          <w:iCs/>
          <w:sz w:val="22"/>
        </w:rPr>
        <w:t xml:space="preserve"> osoby młode, które dopiero budują </w:t>
      </w:r>
      <w:r w:rsidR="00621661">
        <w:rPr>
          <w:rFonts w:cstheme="minorHAnsi"/>
          <w:i/>
          <w:iCs/>
          <w:sz w:val="22"/>
        </w:rPr>
        <w:t>finansow</w:t>
      </w:r>
      <w:r w:rsidR="004324F3">
        <w:rPr>
          <w:rFonts w:cstheme="minorHAnsi"/>
          <w:i/>
          <w:iCs/>
          <w:sz w:val="22"/>
        </w:rPr>
        <w:t>e doświadczenie</w:t>
      </w:r>
      <w:r w:rsidR="00621661">
        <w:rPr>
          <w:rFonts w:cstheme="minorHAnsi"/>
          <w:i/>
          <w:iCs/>
          <w:sz w:val="22"/>
        </w:rPr>
        <w:t xml:space="preserve">, </w:t>
      </w:r>
      <w:r w:rsidR="0046107C">
        <w:rPr>
          <w:rFonts w:cstheme="minorHAnsi"/>
          <w:i/>
          <w:iCs/>
          <w:sz w:val="22"/>
        </w:rPr>
        <w:t xml:space="preserve">by skrzętnie kalkulowały swoje możliwości, </w:t>
      </w:r>
      <w:r w:rsidR="008650E7">
        <w:rPr>
          <w:rFonts w:cstheme="minorHAnsi"/>
          <w:i/>
          <w:iCs/>
          <w:sz w:val="22"/>
        </w:rPr>
        <w:t>pilnow</w:t>
      </w:r>
      <w:r w:rsidR="0046107C">
        <w:rPr>
          <w:rFonts w:cstheme="minorHAnsi"/>
          <w:i/>
          <w:iCs/>
          <w:sz w:val="22"/>
        </w:rPr>
        <w:t xml:space="preserve">ały </w:t>
      </w:r>
      <w:r w:rsidR="000A1F53">
        <w:rPr>
          <w:rFonts w:cstheme="minorHAnsi"/>
          <w:i/>
          <w:iCs/>
          <w:sz w:val="22"/>
        </w:rPr>
        <w:t xml:space="preserve">wydatków </w:t>
      </w:r>
      <w:r w:rsidR="0046107C">
        <w:rPr>
          <w:rFonts w:cstheme="minorHAnsi"/>
          <w:i/>
          <w:iCs/>
          <w:sz w:val="22"/>
        </w:rPr>
        <w:t xml:space="preserve">i </w:t>
      </w:r>
      <w:r w:rsidR="000A1F53">
        <w:rPr>
          <w:rFonts w:cstheme="minorHAnsi"/>
          <w:i/>
          <w:iCs/>
          <w:sz w:val="22"/>
        </w:rPr>
        <w:t>monitorowa</w:t>
      </w:r>
      <w:r w:rsidR="0046107C">
        <w:rPr>
          <w:rFonts w:cstheme="minorHAnsi"/>
          <w:i/>
          <w:iCs/>
          <w:sz w:val="22"/>
        </w:rPr>
        <w:t xml:space="preserve">ły </w:t>
      </w:r>
      <w:r w:rsidR="000A1F53">
        <w:rPr>
          <w:rFonts w:cstheme="minorHAnsi"/>
          <w:i/>
          <w:iCs/>
          <w:sz w:val="22"/>
        </w:rPr>
        <w:t>zobowiąza</w:t>
      </w:r>
      <w:r w:rsidR="0046107C">
        <w:rPr>
          <w:rFonts w:cstheme="minorHAnsi"/>
          <w:i/>
          <w:iCs/>
          <w:sz w:val="22"/>
        </w:rPr>
        <w:t>nia</w:t>
      </w:r>
      <w:r w:rsidR="000A1F53">
        <w:rPr>
          <w:rFonts w:cstheme="minorHAnsi"/>
          <w:i/>
          <w:iCs/>
          <w:sz w:val="22"/>
        </w:rPr>
        <w:t xml:space="preserve">. </w:t>
      </w:r>
      <w:r w:rsidR="008650E7">
        <w:rPr>
          <w:rFonts w:cstheme="minorHAnsi"/>
          <w:i/>
          <w:iCs/>
          <w:sz w:val="22"/>
        </w:rPr>
        <w:t xml:space="preserve">Bo </w:t>
      </w:r>
      <w:r w:rsidR="00225350">
        <w:rPr>
          <w:rFonts w:cstheme="minorHAnsi"/>
          <w:i/>
          <w:iCs/>
          <w:sz w:val="22"/>
        </w:rPr>
        <w:t xml:space="preserve">nawet </w:t>
      </w:r>
      <w:r w:rsidR="00225350" w:rsidRPr="00175C4D">
        <w:rPr>
          <w:rFonts w:cstheme="minorHAnsi"/>
          <w:i/>
          <w:iCs/>
          <w:sz w:val="22"/>
        </w:rPr>
        <w:t xml:space="preserve">nisko kwotowe </w:t>
      </w:r>
      <w:r w:rsidR="0046107C" w:rsidRPr="00175C4D">
        <w:rPr>
          <w:rFonts w:cstheme="minorHAnsi"/>
          <w:i/>
          <w:iCs/>
          <w:sz w:val="22"/>
        </w:rPr>
        <w:t>produkty</w:t>
      </w:r>
      <w:r w:rsidR="007558C9">
        <w:rPr>
          <w:rFonts w:cstheme="minorHAnsi"/>
          <w:i/>
          <w:iCs/>
          <w:sz w:val="22"/>
        </w:rPr>
        <w:t>,</w:t>
      </w:r>
      <w:r w:rsidR="0046107C" w:rsidRPr="00175C4D">
        <w:rPr>
          <w:rFonts w:cstheme="minorHAnsi"/>
          <w:i/>
          <w:iCs/>
          <w:sz w:val="22"/>
        </w:rPr>
        <w:t xml:space="preserve"> </w:t>
      </w:r>
      <w:r w:rsidR="008650E7" w:rsidRPr="00175C4D">
        <w:rPr>
          <w:rFonts w:cstheme="minorHAnsi"/>
          <w:i/>
          <w:iCs/>
          <w:sz w:val="22"/>
        </w:rPr>
        <w:t>komfortowe</w:t>
      </w:r>
      <w:r w:rsidR="0046107C" w:rsidRPr="00175C4D">
        <w:rPr>
          <w:rFonts w:cstheme="minorHAnsi"/>
          <w:i/>
          <w:iCs/>
          <w:sz w:val="22"/>
        </w:rPr>
        <w:t xml:space="preserve"> w używaniu, muszą </w:t>
      </w:r>
      <w:r w:rsidR="00225350" w:rsidRPr="00175C4D">
        <w:rPr>
          <w:rFonts w:cstheme="minorHAnsi"/>
          <w:i/>
          <w:iCs/>
          <w:sz w:val="22"/>
        </w:rPr>
        <w:t xml:space="preserve">być zawsze odpowiedzialnie traktowane </w:t>
      </w:r>
      <w:r w:rsidR="0046107C" w:rsidRPr="00175C4D">
        <w:rPr>
          <w:rFonts w:cstheme="minorHAnsi"/>
          <w:i/>
          <w:iCs/>
          <w:sz w:val="22"/>
        </w:rPr>
        <w:t>w spłacie</w:t>
      </w:r>
      <w:r w:rsidR="0060147D">
        <w:rPr>
          <w:rFonts w:cstheme="minorHAnsi"/>
          <w:i/>
          <w:iCs/>
          <w:sz w:val="22"/>
        </w:rPr>
        <w:t>, szczególnie, że mogą mieć wpływ na historię kredytową w BIK</w:t>
      </w:r>
      <w:r w:rsidR="0060147D" w:rsidRPr="00C94DBF">
        <w:rPr>
          <w:rFonts w:cstheme="minorHAnsi"/>
          <w:i/>
          <w:iCs/>
          <w:sz w:val="22"/>
        </w:rPr>
        <w:t>, sprawdzan</w:t>
      </w:r>
      <w:r w:rsidR="0060147D">
        <w:rPr>
          <w:rFonts w:cstheme="minorHAnsi"/>
          <w:i/>
          <w:iCs/>
          <w:sz w:val="22"/>
        </w:rPr>
        <w:t>ą</w:t>
      </w:r>
      <w:r w:rsidR="0060147D" w:rsidRPr="00C94DBF">
        <w:rPr>
          <w:rFonts w:cstheme="minorHAnsi"/>
          <w:i/>
          <w:iCs/>
          <w:sz w:val="22"/>
        </w:rPr>
        <w:t xml:space="preserve"> przez</w:t>
      </w:r>
      <w:r w:rsidR="0060147D">
        <w:rPr>
          <w:rFonts w:cstheme="minorHAnsi"/>
          <w:sz w:val="22"/>
        </w:rPr>
        <w:t xml:space="preserve"> </w:t>
      </w:r>
      <w:r w:rsidR="0060147D" w:rsidRPr="00175C4D">
        <w:rPr>
          <w:rFonts w:cstheme="minorHAnsi"/>
          <w:i/>
          <w:iCs/>
          <w:sz w:val="22"/>
        </w:rPr>
        <w:t>banki w procesie udzielania finansowania</w:t>
      </w:r>
      <w:r w:rsidR="006918BA" w:rsidRPr="00175C4D">
        <w:rPr>
          <w:rFonts w:cstheme="minorHAnsi"/>
          <w:i/>
          <w:iCs/>
          <w:sz w:val="22"/>
        </w:rPr>
        <w:t>. Informacje</w:t>
      </w:r>
      <w:r w:rsidR="006918BA">
        <w:rPr>
          <w:rFonts w:cstheme="minorHAnsi"/>
          <w:i/>
          <w:iCs/>
          <w:sz w:val="22"/>
        </w:rPr>
        <w:t xml:space="preserve"> z innych krajów sygnalizują</w:t>
      </w:r>
      <w:r w:rsidR="005468C7">
        <w:rPr>
          <w:rFonts w:cstheme="minorHAnsi"/>
          <w:i/>
          <w:iCs/>
          <w:sz w:val="22"/>
        </w:rPr>
        <w:t xml:space="preserve"> </w:t>
      </w:r>
      <w:r w:rsidR="0046107C" w:rsidRPr="00C90F2E">
        <w:rPr>
          <w:rFonts w:cstheme="minorHAnsi"/>
          <w:i/>
          <w:iCs/>
          <w:sz w:val="22"/>
        </w:rPr>
        <w:t>już</w:t>
      </w:r>
      <w:r w:rsidR="005468C7">
        <w:rPr>
          <w:rFonts w:cstheme="minorHAnsi"/>
          <w:i/>
          <w:iCs/>
          <w:sz w:val="22"/>
        </w:rPr>
        <w:t xml:space="preserve"> zresztą</w:t>
      </w:r>
      <w:r w:rsidR="0046107C" w:rsidRPr="00C90F2E">
        <w:rPr>
          <w:rFonts w:cstheme="minorHAnsi"/>
          <w:i/>
          <w:iCs/>
          <w:sz w:val="22"/>
        </w:rPr>
        <w:t xml:space="preserve">, </w:t>
      </w:r>
      <w:r w:rsidR="006918BA">
        <w:rPr>
          <w:rFonts w:cstheme="minorHAnsi"/>
          <w:i/>
          <w:iCs/>
          <w:sz w:val="22"/>
        </w:rPr>
        <w:t>że</w:t>
      </w:r>
      <w:r w:rsidR="005468C7">
        <w:rPr>
          <w:rFonts w:cstheme="minorHAnsi"/>
          <w:i/>
          <w:iCs/>
          <w:sz w:val="22"/>
        </w:rPr>
        <w:t xml:space="preserve"> </w:t>
      </w:r>
      <w:r w:rsidR="00225350">
        <w:rPr>
          <w:rFonts w:cstheme="minorHAnsi"/>
          <w:i/>
          <w:iCs/>
          <w:sz w:val="22"/>
        </w:rPr>
        <w:t xml:space="preserve">nieodpowiedzialne korzystanie z </w:t>
      </w:r>
      <w:r w:rsidR="0046107C" w:rsidRPr="00C90F2E">
        <w:rPr>
          <w:rFonts w:cstheme="minorHAnsi"/>
          <w:i/>
          <w:iCs/>
          <w:sz w:val="22"/>
        </w:rPr>
        <w:t>odroczon</w:t>
      </w:r>
      <w:r w:rsidR="00225350">
        <w:rPr>
          <w:rFonts w:cstheme="minorHAnsi"/>
          <w:i/>
          <w:iCs/>
          <w:sz w:val="22"/>
        </w:rPr>
        <w:t>ych</w:t>
      </w:r>
      <w:r w:rsidR="0046107C" w:rsidRPr="00C90F2E">
        <w:rPr>
          <w:rFonts w:cstheme="minorHAnsi"/>
          <w:i/>
          <w:iCs/>
          <w:sz w:val="22"/>
        </w:rPr>
        <w:t xml:space="preserve"> płatnoś</w:t>
      </w:r>
      <w:r w:rsidR="00225350">
        <w:rPr>
          <w:rFonts w:cstheme="minorHAnsi"/>
          <w:i/>
          <w:iCs/>
          <w:sz w:val="22"/>
        </w:rPr>
        <w:t>ci</w:t>
      </w:r>
      <w:r w:rsidR="0046107C" w:rsidRPr="00C90F2E">
        <w:rPr>
          <w:rFonts w:cstheme="minorHAnsi"/>
          <w:i/>
          <w:iCs/>
          <w:sz w:val="22"/>
        </w:rPr>
        <w:t xml:space="preserve"> </w:t>
      </w:r>
      <w:r w:rsidR="005468C7">
        <w:rPr>
          <w:rFonts w:cstheme="minorHAnsi"/>
          <w:i/>
          <w:iCs/>
          <w:sz w:val="22"/>
        </w:rPr>
        <w:t>wpędził</w:t>
      </w:r>
      <w:r w:rsidR="00225350">
        <w:rPr>
          <w:rFonts w:cstheme="minorHAnsi"/>
          <w:i/>
          <w:iCs/>
          <w:sz w:val="22"/>
        </w:rPr>
        <w:t>o</w:t>
      </w:r>
      <w:r w:rsidR="005468C7">
        <w:rPr>
          <w:rFonts w:cstheme="minorHAnsi"/>
          <w:i/>
          <w:iCs/>
          <w:sz w:val="22"/>
        </w:rPr>
        <w:t xml:space="preserve"> część klientów w </w:t>
      </w:r>
      <w:r w:rsidR="0046107C" w:rsidRPr="00830DBF">
        <w:rPr>
          <w:rFonts w:cstheme="minorHAnsi"/>
          <w:i/>
          <w:iCs/>
          <w:sz w:val="22"/>
        </w:rPr>
        <w:t>pętl</w:t>
      </w:r>
      <w:r w:rsidR="005468C7">
        <w:rPr>
          <w:rFonts w:cstheme="minorHAnsi"/>
          <w:i/>
          <w:iCs/>
          <w:sz w:val="22"/>
        </w:rPr>
        <w:t>ę</w:t>
      </w:r>
      <w:r w:rsidR="00F50DD9">
        <w:rPr>
          <w:rFonts w:cstheme="minorHAnsi"/>
          <w:i/>
          <w:iCs/>
          <w:sz w:val="22"/>
        </w:rPr>
        <w:t xml:space="preserve"> </w:t>
      </w:r>
      <w:r w:rsidR="0046107C" w:rsidRPr="00830DBF">
        <w:rPr>
          <w:rFonts w:cstheme="minorHAnsi"/>
          <w:i/>
          <w:iCs/>
          <w:sz w:val="22"/>
        </w:rPr>
        <w:t>zadłużenia –</w:t>
      </w:r>
      <w:r w:rsidR="000A1F53" w:rsidRPr="00830DBF">
        <w:rPr>
          <w:rFonts w:cstheme="minorHAnsi"/>
          <w:sz w:val="22"/>
        </w:rPr>
        <w:t xml:space="preserve"> ostrzega </w:t>
      </w:r>
      <w:r w:rsidR="000A1F53" w:rsidRPr="00C36A17">
        <w:rPr>
          <w:rFonts w:cstheme="minorHAnsi"/>
          <w:b/>
          <w:bCs/>
          <w:sz w:val="22"/>
        </w:rPr>
        <w:t xml:space="preserve">dr </w:t>
      </w:r>
      <w:r w:rsidR="000A1F53" w:rsidRPr="00C90F2E">
        <w:rPr>
          <w:rFonts w:cstheme="minorHAnsi"/>
          <w:b/>
          <w:bCs/>
          <w:sz w:val="22"/>
        </w:rPr>
        <w:t>Mariusz Cholewa, prezes zarządu BIK</w:t>
      </w:r>
      <w:bookmarkEnd w:id="1"/>
      <w:r w:rsidR="000A1F53" w:rsidRPr="00830DBF">
        <w:rPr>
          <w:rFonts w:cstheme="minorHAnsi"/>
          <w:sz w:val="22"/>
        </w:rPr>
        <w:t>.</w:t>
      </w:r>
      <w:r w:rsidR="008768F4">
        <w:rPr>
          <w:rFonts w:cstheme="minorHAnsi"/>
          <w:sz w:val="22"/>
        </w:rPr>
        <w:t xml:space="preserve"> </w:t>
      </w:r>
    </w:p>
    <w:p w14:paraId="34B176CA" w14:textId="77777777" w:rsidR="000E74D8" w:rsidRDefault="000E74D8" w:rsidP="000E74D8">
      <w:pPr>
        <w:jc w:val="both"/>
        <w:rPr>
          <w:rFonts w:cstheme="minorHAnsi"/>
          <w:sz w:val="22"/>
        </w:rPr>
      </w:pPr>
    </w:p>
    <w:p w14:paraId="29CDD07A" w14:textId="5DFF22E1" w:rsidR="00CD255C" w:rsidRPr="00CD255C" w:rsidRDefault="007461FA" w:rsidP="00C37682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>Jak wynika z badań konsumenckich w</w:t>
      </w:r>
      <w:r w:rsidR="00262833">
        <w:rPr>
          <w:rFonts w:cstheme="minorHAnsi"/>
          <w:sz w:val="22"/>
        </w:rPr>
        <w:t xml:space="preserve"> Stanach Zjednoczonych</w:t>
      </w:r>
      <w:r>
        <w:rPr>
          <w:rFonts w:cstheme="minorHAnsi"/>
          <w:sz w:val="22"/>
        </w:rPr>
        <w:t>,</w:t>
      </w:r>
      <w:r w:rsidR="00262833">
        <w:rPr>
          <w:rFonts w:cstheme="minorHAnsi"/>
          <w:sz w:val="22"/>
        </w:rPr>
        <w:t xml:space="preserve"> </w:t>
      </w:r>
      <w:r w:rsidR="00CD255C" w:rsidRPr="00CD255C">
        <w:rPr>
          <w:rFonts w:cstheme="minorHAnsi"/>
          <w:sz w:val="22"/>
        </w:rPr>
        <w:t xml:space="preserve">na </w:t>
      </w:r>
      <w:r w:rsidR="000E74D8">
        <w:rPr>
          <w:rFonts w:cstheme="minorHAnsi"/>
          <w:sz w:val="22"/>
        </w:rPr>
        <w:t xml:space="preserve">dziesięciu </w:t>
      </w:r>
      <w:r w:rsidR="00262833">
        <w:rPr>
          <w:rFonts w:cstheme="minorHAnsi"/>
          <w:sz w:val="22"/>
        </w:rPr>
        <w:t xml:space="preserve">klientów </w:t>
      </w:r>
      <w:r w:rsidR="00CD255C" w:rsidRPr="00CD255C">
        <w:rPr>
          <w:rFonts w:cstheme="minorHAnsi"/>
          <w:sz w:val="22"/>
        </w:rPr>
        <w:t>opcji „kup teraz, zapłać później”</w:t>
      </w:r>
      <w:r w:rsidR="00EA2B2B">
        <w:rPr>
          <w:rFonts w:cstheme="minorHAnsi"/>
          <w:sz w:val="22"/>
        </w:rPr>
        <w:t xml:space="preserve"> sześciu udaje się </w:t>
      </w:r>
      <w:r w:rsidR="00745BAE">
        <w:rPr>
          <w:rFonts w:cstheme="minorHAnsi"/>
          <w:sz w:val="22"/>
        </w:rPr>
        <w:t>zdążyć</w:t>
      </w:r>
      <w:r w:rsidR="00EA2B2B">
        <w:rPr>
          <w:rFonts w:cstheme="minorHAnsi"/>
          <w:sz w:val="22"/>
        </w:rPr>
        <w:t xml:space="preserve"> w wyznaczonym bezkosztowym terminie</w:t>
      </w:r>
      <w:r w:rsidR="00745BAE">
        <w:rPr>
          <w:rFonts w:cstheme="minorHAnsi"/>
          <w:sz w:val="22"/>
        </w:rPr>
        <w:t>. R</w:t>
      </w:r>
      <w:r w:rsidR="00EA2B2B">
        <w:rPr>
          <w:rFonts w:cstheme="minorHAnsi"/>
          <w:sz w:val="22"/>
        </w:rPr>
        <w:t xml:space="preserve">eszta rozkłada zobowiązania na  </w:t>
      </w:r>
      <w:r w:rsidR="00225350">
        <w:rPr>
          <w:rFonts w:cstheme="minorHAnsi"/>
          <w:sz w:val="22"/>
        </w:rPr>
        <w:t>rat</w:t>
      </w:r>
      <w:r w:rsidR="00EA2B2B">
        <w:rPr>
          <w:rFonts w:cstheme="minorHAnsi"/>
          <w:sz w:val="22"/>
        </w:rPr>
        <w:t>y</w:t>
      </w:r>
      <w:r w:rsidR="00745BAE">
        <w:rPr>
          <w:rFonts w:cstheme="minorHAnsi"/>
          <w:sz w:val="22"/>
        </w:rPr>
        <w:t xml:space="preserve"> i </w:t>
      </w:r>
      <w:r w:rsidR="00A01D92">
        <w:rPr>
          <w:rFonts w:cstheme="minorHAnsi"/>
          <w:sz w:val="22"/>
        </w:rPr>
        <w:t>j</w:t>
      </w:r>
      <w:r w:rsidR="00C37682">
        <w:rPr>
          <w:rFonts w:cstheme="minorHAnsi"/>
          <w:sz w:val="22"/>
        </w:rPr>
        <w:t xml:space="preserve">edna piąta </w:t>
      </w:r>
      <w:r w:rsidR="00EA2B2B">
        <w:rPr>
          <w:rFonts w:cstheme="minorHAnsi"/>
          <w:sz w:val="22"/>
        </w:rPr>
        <w:t xml:space="preserve">spłaca </w:t>
      </w:r>
      <w:r w:rsidR="00745BAE">
        <w:rPr>
          <w:rFonts w:cstheme="minorHAnsi"/>
          <w:sz w:val="22"/>
        </w:rPr>
        <w:t xml:space="preserve">je </w:t>
      </w:r>
      <w:r w:rsidR="00CD255C" w:rsidRPr="00CD255C">
        <w:rPr>
          <w:rFonts w:cstheme="minorHAnsi"/>
          <w:sz w:val="22"/>
        </w:rPr>
        <w:t>kart</w:t>
      </w:r>
      <w:r w:rsidR="00EA2B2B">
        <w:rPr>
          <w:rFonts w:cstheme="minorHAnsi"/>
          <w:sz w:val="22"/>
        </w:rPr>
        <w:t>ą</w:t>
      </w:r>
      <w:r w:rsidR="00CD255C" w:rsidRPr="00CD255C">
        <w:rPr>
          <w:rFonts w:cstheme="minorHAnsi"/>
          <w:sz w:val="22"/>
        </w:rPr>
        <w:t xml:space="preserve"> kredytow</w:t>
      </w:r>
      <w:r w:rsidR="00EA2B2B">
        <w:rPr>
          <w:rFonts w:cstheme="minorHAnsi"/>
          <w:sz w:val="22"/>
        </w:rPr>
        <w:t>ą</w:t>
      </w:r>
      <w:r w:rsidR="000E74D8">
        <w:rPr>
          <w:rFonts w:cstheme="minorHAnsi"/>
          <w:sz w:val="22"/>
        </w:rPr>
        <w:t xml:space="preserve">. Z kolei w Wielkiej Brytanii więcej niż co dziesiąty amator BNPL </w:t>
      </w:r>
      <w:r w:rsidR="00262833">
        <w:rPr>
          <w:rFonts w:cstheme="minorHAnsi"/>
          <w:sz w:val="22"/>
        </w:rPr>
        <w:t>sięg</w:t>
      </w:r>
      <w:r w:rsidR="00A01D92">
        <w:rPr>
          <w:rFonts w:cstheme="minorHAnsi"/>
          <w:sz w:val="22"/>
        </w:rPr>
        <w:t xml:space="preserve">a </w:t>
      </w:r>
      <w:r w:rsidR="00262833">
        <w:rPr>
          <w:rFonts w:cstheme="minorHAnsi"/>
          <w:sz w:val="22"/>
        </w:rPr>
        <w:t xml:space="preserve">po tę </w:t>
      </w:r>
      <w:r w:rsidR="000E74D8">
        <w:rPr>
          <w:rFonts w:cstheme="minorHAnsi"/>
          <w:sz w:val="22"/>
        </w:rPr>
        <w:t>opcj</w:t>
      </w:r>
      <w:r w:rsidR="00262833">
        <w:rPr>
          <w:rFonts w:cstheme="minorHAnsi"/>
          <w:sz w:val="22"/>
        </w:rPr>
        <w:t>ę</w:t>
      </w:r>
      <w:r w:rsidR="000E74D8">
        <w:rPr>
          <w:rFonts w:cstheme="minorHAnsi"/>
          <w:sz w:val="22"/>
        </w:rPr>
        <w:t xml:space="preserve">, </w:t>
      </w:r>
      <w:r w:rsidR="00262833">
        <w:rPr>
          <w:rFonts w:cstheme="minorHAnsi"/>
          <w:sz w:val="22"/>
        </w:rPr>
        <w:t xml:space="preserve">nie tylko dlatego, że brakowało mu w danej chwili pieniędzy, ale dlatego, że </w:t>
      </w:r>
      <w:r w:rsidR="00CD255C" w:rsidRPr="00CD255C">
        <w:rPr>
          <w:rFonts w:cstheme="minorHAnsi"/>
          <w:sz w:val="22"/>
        </w:rPr>
        <w:t>miał</w:t>
      </w:r>
      <w:r w:rsidR="000B2B59">
        <w:rPr>
          <w:rFonts w:cstheme="minorHAnsi"/>
          <w:sz w:val="22"/>
        </w:rPr>
        <w:t xml:space="preserve"> już</w:t>
      </w:r>
      <w:r w:rsidR="00CD255C" w:rsidRPr="00CD255C">
        <w:rPr>
          <w:rFonts w:cstheme="minorHAnsi"/>
          <w:sz w:val="22"/>
        </w:rPr>
        <w:t xml:space="preserve"> zaległości z tytułu innych zobowiązań</w:t>
      </w:r>
      <w:r w:rsidR="000E74D8">
        <w:rPr>
          <w:rFonts w:cstheme="minorHAnsi"/>
          <w:sz w:val="22"/>
        </w:rPr>
        <w:t xml:space="preserve">. </w:t>
      </w:r>
      <w:r w:rsidR="00C37682">
        <w:rPr>
          <w:rFonts w:cstheme="minorHAnsi"/>
          <w:sz w:val="22"/>
        </w:rPr>
        <w:t>W Australii j</w:t>
      </w:r>
      <w:r w:rsidR="00CD255C" w:rsidRPr="00CD255C">
        <w:rPr>
          <w:rFonts w:cstheme="minorHAnsi"/>
          <w:sz w:val="22"/>
        </w:rPr>
        <w:t xml:space="preserve">eden na </w:t>
      </w:r>
      <w:r w:rsidR="00C37682">
        <w:rPr>
          <w:rFonts w:cstheme="minorHAnsi"/>
          <w:sz w:val="22"/>
        </w:rPr>
        <w:t>czternastu klientów p</w:t>
      </w:r>
      <w:r w:rsidR="00CD255C" w:rsidRPr="00CD255C">
        <w:rPr>
          <w:rFonts w:cstheme="minorHAnsi"/>
          <w:sz w:val="22"/>
        </w:rPr>
        <w:t>owiedział, że spła</w:t>
      </w:r>
      <w:r w:rsidR="00C37682">
        <w:rPr>
          <w:rFonts w:cstheme="minorHAnsi"/>
          <w:sz w:val="22"/>
        </w:rPr>
        <w:t xml:space="preserve">ta </w:t>
      </w:r>
      <w:r w:rsidR="00CD255C" w:rsidRPr="00CD255C">
        <w:rPr>
          <w:rFonts w:cstheme="minorHAnsi"/>
          <w:sz w:val="22"/>
        </w:rPr>
        <w:t>rat</w:t>
      </w:r>
      <w:r w:rsidR="00C37682">
        <w:rPr>
          <w:rFonts w:cstheme="minorHAnsi"/>
          <w:sz w:val="22"/>
        </w:rPr>
        <w:t xml:space="preserve">y spowodowała konieczność </w:t>
      </w:r>
      <w:r w:rsidR="00CD255C" w:rsidRPr="00CD255C">
        <w:rPr>
          <w:rFonts w:cstheme="minorHAnsi"/>
          <w:sz w:val="22"/>
        </w:rPr>
        <w:t>ogranicz</w:t>
      </w:r>
      <w:r w:rsidR="00C37682">
        <w:rPr>
          <w:rFonts w:cstheme="minorHAnsi"/>
          <w:sz w:val="22"/>
        </w:rPr>
        <w:t xml:space="preserve">enia </w:t>
      </w:r>
      <w:r w:rsidR="00CD255C" w:rsidRPr="00CD255C">
        <w:rPr>
          <w:rFonts w:cstheme="minorHAnsi"/>
          <w:sz w:val="22"/>
        </w:rPr>
        <w:t>podstawow</w:t>
      </w:r>
      <w:r w:rsidR="00C37682">
        <w:rPr>
          <w:rFonts w:cstheme="minorHAnsi"/>
          <w:sz w:val="22"/>
        </w:rPr>
        <w:t xml:space="preserve">ych </w:t>
      </w:r>
      <w:r w:rsidR="00CD255C" w:rsidRPr="00CD255C">
        <w:rPr>
          <w:rFonts w:cstheme="minorHAnsi"/>
          <w:sz w:val="22"/>
        </w:rPr>
        <w:t>wydatk</w:t>
      </w:r>
      <w:r w:rsidR="00C37682">
        <w:rPr>
          <w:rFonts w:cstheme="minorHAnsi"/>
          <w:sz w:val="22"/>
        </w:rPr>
        <w:t xml:space="preserve">ów. </w:t>
      </w:r>
    </w:p>
    <w:p w14:paraId="2BDC722E" w14:textId="6D8310F7" w:rsidR="00CD255C" w:rsidRPr="00CD255C" w:rsidRDefault="00262833" w:rsidP="00C36A17">
      <w:pPr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Przykład Australijczyków pokazuje </w:t>
      </w:r>
      <w:r w:rsidR="00C37682">
        <w:rPr>
          <w:rFonts w:cstheme="minorHAnsi"/>
          <w:sz w:val="22"/>
        </w:rPr>
        <w:t>też</w:t>
      </w:r>
      <w:r>
        <w:rPr>
          <w:rFonts w:cstheme="minorHAnsi"/>
          <w:sz w:val="22"/>
        </w:rPr>
        <w:t xml:space="preserve"> jak ważne jest </w:t>
      </w:r>
      <w:r w:rsidR="00D31E27">
        <w:rPr>
          <w:rFonts w:cstheme="minorHAnsi"/>
          <w:sz w:val="22"/>
        </w:rPr>
        <w:t>do</w:t>
      </w:r>
      <w:r>
        <w:rPr>
          <w:rFonts w:cstheme="minorHAnsi"/>
          <w:sz w:val="22"/>
        </w:rPr>
        <w:t>pilnowanie terminów</w:t>
      </w:r>
      <w:r w:rsidR="00D31E27">
        <w:rPr>
          <w:rFonts w:cstheme="minorHAnsi"/>
          <w:sz w:val="22"/>
        </w:rPr>
        <w:t>.</w:t>
      </w:r>
      <w:r>
        <w:rPr>
          <w:rFonts w:cstheme="minorHAnsi"/>
          <w:sz w:val="22"/>
        </w:rPr>
        <w:t xml:space="preserve"> </w:t>
      </w:r>
      <w:r w:rsidR="00D31E27">
        <w:rPr>
          <w:rFonts w:cstheme="minorHAnsi"/>
          <w:sz w:val="22"/>
        </w:rPr>
        <w:t xml:space="preserve">Aż </w:t>
      </w:r>
      <w:r w:rsidR="00CD255C" w:rsidRPr="00CD255C">
        <w:rPr>
          <w:rFonts w:cstheme="minorHAnsi"/>
          <w:sz w:val="22"/>
        </w:rPr>
        <w:t>21</w:t>
      </w:r>
      <w:r>
        <w:rPr>
          <w:rFonts w:cstheme="minorHAnsi"/>
          <w:sz w:val="22"/>
        </w:rPr>
        <w:t xml:space="preserve"> proc. mieszkańców </w:t>
      </w:r>
      <w:r w:rsidR="007729B8">
        <w:rPr>
          <w:rFonts w:cstheme="minorHAnsi"/>
          <w:sz w:val="22"/>
        </w:rPr>
        <w:t>a</w:t>
      </w:r>
      <w:r>
        <w:rPr>
          <w:rFonts w:cstheme="minorHAnsi"/>
          <w:sz w:val="22"/>
        </w:rPr>
        <w:t xml:space="preserve">ntypodów zdarzyło się </w:t>
      </w:r>
      <w:r w:rsidR="00CD255C" w:rsidRPr="00CD255C">
        <w:rPr>
          <w:rFonts w:cstheme="minorHAnsi"/>
          <w:sz w:val="22"/>
        </w:rPr>
        <w:t>w ciągu 12 miesięcy</w:t>
      </w:r>
      <w:r>
        <w:rPr>
          <w:rFonts w:cstheme="minorHAnsi"/>
          <w:sz w:val="22"/>
        </w:rPr>
        <w:t xml:space="preserve"> </w:t>
      </w:r>
      <w:r w:rsidR="00C37682">
        <w:rPr>
          <w:rFonts w:cstheme="minorHAnsi"/>
          <w:sz w:val="22"/>
        </w:rPr>
        <w:t xml:space="preserve">po prostu </w:t>
      </w:r>
      <w:r w:rsidR="00CD255C" w:rsidRPr="00CD255C">
        <w:rPr>
          <w:rFonts w:cstheme="minorHAnsi"/>
          <w:sz w:val="22"/>
        </w:rPr>
        <w:t>przegapi</w:t>
      </w:r>
      <w:r>
        <w:rPr>
          <w:rFonts w:cstheme="minorHAnsi"/>
          <w:sz w:val="22"/>
        </w:rPr>
        <w:t>ć</w:t>
      </w:r>
      <w:r w:rsidR="00CD255C" w:rsidRPr="00CD255C">
        <w:rPr>
          <w:rFonts w:cstheme="minorHAnsi"/>
          <w:sz w:val="22"/>
        </w:rPr>
        <w:t xml:space="preserve"> płatność</w:t>
      </w:r>
      <w:r w:rsidR="00A01D92">
        <w:rPr>
          <w:rStyle w:val="Odwoanieprzypisudolnego"/>
          <w:rFonts w:cstheme="minorHAnsi"/>
          <w:sz w:val="22"/>
        </w:rPr>
        <w:footnoteReference w:id="2"/>
      </w:r>
      <w:r>
        <w:rPr>
          <w:rFonts w:cstheme="minorHAnsi"/>
          <w:sz w:val="22"/>
        </w:rPr>
        <w:t xml:space="preserve">. </w:t>
      </w:r>
    </w:p>
    <w:p w14:paraId="7A9C5DBE" w14:textId="77777777" w:rsidR="00CD255C" w:rsidRDefault="00CD255C" w:rsidP="00830DBF">
      <w:pPr>
        <w:jc w:val="both"/>
        <w:rPr>
          <w:rFonts w:cstheme="minorHAnsi"/>
          <w:sz w:val="22"/>
        </w:rPr>
      </w:pPr>
    </w:p>
    <w:p w14:paraId="3495A9EF" w14:textId="77777777" w:rsidR="00DD596D" w:rsidRDefault="00DD596D" w:rsidP="00830DBF">
      <w:pPr>
        <w:jc w:val="both"/>
        <w:rPr>
          <w:rFonts w:cstheme="minorHAnsi"/>
          <w:i/>
          <w:iCs/>
          <w:sz w:val="22"/>
        </w:rPr>
      </w:pPr>
      <w:r>
        <w:rPr>
          <w:rFonts w:cstheme="minorHAnsi"/>
          <w:sz w:val="22"/>
        </w:rPr>
        <w:t xml:space="preserve">Rektor </w:t>
      </w:r>
      <w:r w:rsidR="00225350">
        <w:rPr>
          <w:rFonts w:cstheme="minorHAnsi"/>
          <w:sz w:val="22"/>
        </w:rPr>
        <w:t>Szkoły Głównej Handlowej</w:t>
      </w:r>
      <w:r>
        <w:rPr>
          <w:rFonts w:cstheme="minorHAnsi"/>
          <w:sz w:val="22"/>
        </w:rPr>
        <w:t xml:space="preserve">, </w:t>
      </w:r>
      <w:r w:rsidR="00E2409C" w:rsidRPr="00E2409C">
        <w:rPr>
          <w:rFonts w:cstheme="minorHAnsi"/>
          <w:sz w:val="22"/>
        </w:rPr>
        <w:t>której mis</w:t>
      </w:r>
      <w:r w:rsidR="00E2409C">
        <w:rPr>
          <w:rFonts w:cstheme="minorHAnsi"/>
          <w:sz w:val="22"/>
        </w:rPr>
        <w:t>ją jest kształtowanie dojrzałych postaw na rynku finansowy</w:t>
      </w:r>
      <w:r w:rsidR="00E2409C" w:rsidRPr="00E2409C">
        <w:rPr>
          <w:rFonts w:cstheme="minorHAnsi"/>
          <w:sz w:val="22"/>
        </w:rPr>
        <w:t>m,</w:t>
      </w:r>
      <w:r w:rsidR="00D31E27">
        <w:rPr>
          <w:rFonts w:cstheme="minorHAnsi"/>
          <w:sz w:val="22"/>
        </w:rPr>
        <w:t xml:space="preserve"> a zatem</w:t>
      </w:r>
      <w:r w:rsidR="00E2409C" w:rsidRPr="00E2409C">
        <w:rPr>
          <w:rFonts w:cstheme="minorHAnsi"/>
          <w:sz w:val="22"/>
        </w:rPr>
        <w:t xml:space="preserve"> </w:t>
      </w:r>
      <w:r w:rsidR="00D31E27">
        <w:rPr>
          <w:rFonts w:cstheme="minorHAnsi"/>
          <w:sz w:val="22"/>
        </w:rPr>
        <w:t>m.in. bezpieczeństwo</w:t>
      </w:r>
      <w:r w:rsidR="00D31E27" w:rsidRPr="00830DBF">
        <w:rPr>
          <w:rFonts w:cstheme="minorHAnsi"/>
          <w:sz w:val="22"/>
        </w:rPr>
        <w:t xml:space="preserve"> finansowe konsumentów</w:t>
      </w:r>
      <w:r w:rsidR="00D31E27">
        <w:rPr>
          <w:rFonts w:cstheme="minorHAnsi"/>
          <w:sz w:val="22"/>
        </w:rPr>
        <w:t>,</w:t>
      </w:r>
      <w:r w:rsidR="00D31E27" w:rsidRPr="00830DBF">
        <w:rPr>
          <w:rFonts w:cstheme="minorHAnsi"/>
          <w:sz w:val="22"/>
        </w:rPr>
        <w:t xml:space="preserve"> </w:t>
      </w:r>
      <w:r w:rsidR="00BE2F6A">
        <w:rPr>
          <w:rFonts w:cstheme="minorHAnsi"/>
          <w:sz w:val="22"/>
        </w:rPr>
        <w:t>wspólnie z prezesem B</w:t>
      </w:r>
      <w:r>
        <w:rPr>
          <w:rFonts w:cstheme="minorHAnsi"/>
          <w:sz w:val="22"/>
        </w:rPr>
        <w:t xml:space="preserve">IK </w:t>
      </w:r>
      <w:r w:rsidR="00E2409C" w:rsidRPr="00C90F2E">
        <w:rPr>
          <w:rFonts w:cstheme="minorHAnsi"/>
          <w:sz w:val="22"/>
        </w:rPr>
        <w:t>a</w:t>
      </w:r>
      <w:r w:rsidR="00830DBF" w:rsidRPr="00C90F2E">
        <w:rPr>
          <w:rFonts w:cstheme="minorHAnsi"/>
          <w:sz w:val="22"/>
        </w:rPr>
        <w:t>peluj</w:t>
      </w:r>
      <w:r w:rsidR="00BE2F6A">
        <w:rPr>
          <w:rFonts w:cstheme="minorHAnsi"/>
          <w:sz w:val="22"/>
        </w:rPr>
        <w:t>ą</w:t>
      </w:r>
      <w:r w:rsidR="00830DBF" w:rsidRPr="00C90F2E">
        <w:rPr>
          <w:rFonts w:cstheme="minorHAnsi"/>
          <w:sz w:val="22"/>
        </w:rPr>
        <w:t>, by roztropnie korzystać z nowych, a zwłaszcza tak łatwo dostępnych form finansowania.</w:t>
      </w:r>
      <w:r w:rsidR="00830DBF" w:rsidRPr="00830DBF">
        <w:rPr>
          <w:rFonts w:cstheme="minorHAnsi"/>
          <w:i/>
          <w:iCs/>
          <w:sz w:val="22"/>
        </w:rPr>
        <w:t xml:space="preserve"> </w:t>
      </w:r>
    </w:p>
    <w:p w14:paraId="12512A34" w14:textId="77777777" w:rsidR="00DD596D" w:rsidRDefault="00DD596D" w:rsidP="00830DBF">
      <w:pPr>
        <w:jc w:val="both"/>
        <w:rPr>
          <w:rFonts w:cstheme="minorHAnsi"/>
          <w:i/>
          <w:iCs/>
          <w:sz w:val="22"/>
        </w:rPr>
      </w:pPr>
    </w:p>
    <w:p w14:paraId="14C8A2AB" w14:textId="12D8E9E1" w:rsidR="00830DBF" w:rsidRDefault="00E2409C" w:rsidP="00830DBF">
      <w:pPr>
        <w:jc w:val="both"/>
        <w:rPr>
          <w:rFonts w:cstheme="minorHAnsi"/>
          <w:sz w:val="22"/>
        </w:rPr>
      </w:pPr>
      <w:r>
        <w:rPr>
          <w:rFonts w:cstheme="minorHAnsi"/>
          <w:i/>
          <w:iCs/>
          <w:sz w:val="22"/>
        </w:rPr>
        <w:t xml:space="preserve">- </w:t>
      </w:r>
      <w:r w:rsidR="00830DBF" w:rsidRPr="00830DBF">
        <w:rPr>
          <w:rFonts w:cstheme="minorHAnsi"/>
          <w:i/>
          <w:iCs/>
          <w:sz w:val="22"/>
        </w:rPr>
        <w:t>Zwracamy uwagę na ryzyko nadmiernej ko</w:t>
      </w:r>
      <w:r w:rsidR="00830DBF" w:rsidRPr="00225350">
        <w:rPr>
          <w:rFonts w:cstheme="minorHAnsi"/>
          <w:i/>
          <w:iCs/>
          <w:sz w:val="22"/>
        </w:rPr>
        <w:t xml:space="preserve">nsumpcji oraz możliwe konsekwencje ekonomiczne. Dlatego jako </w:t>
      </w:r>
      <w:r w:rsidR="00BE2F6A" w:rsidRPr="00225350">
        <w:rPr>
          <w:rFonts w:cstheme="minorHAnsi"/>
          <w:i/>
          <w:iCs/>
          <w:sz w:val="22"/>
        </w:rPr>
        <w:t xml:space="preserve">wiodąca </w:t>
      </w:r>
      <w:r w:rsidR="00830DBF" w:rsidRPr="00225350">
        <w:rPr>
          <w:rFonts w:cstheme="minorHAnsi"/>
          <w:i/>
          <w:iCs/>
          <w:sz w:val="22"/>
        </w:rPr>
        <w:t>uczelnia ekonomiczna</w:t>
      </w:r>
      <w:r w:rsidR="00BE2F6A" w:rsidRPr="00225350">
        <w:rPr>
          <w:rFonts w:cstheme="minorHAnsi"/>
          <w:i/>
          <w:iCs/>
          <w:sz w:val="22"/>
        </w:rPr>
        <w:t xml:space="preserve"> </w:t>
      </w:r>
      <w:r w:rsidR="00225350" w:rsidRPr="00773D6D">
        <w:rPr>
          <w:rFonts w:cstheme="minorHAnsi"/>
          <w:i/>
          <w:iCs/>
          <w:sz w:val="22"/>
        </w:rPr>
        <w:t xml:space="preserve">wspólnie z </w:t>
      </w:r>
      <w:r w:rsidR="00BE2F6A" w:rsidRPr="00773D6D">
        <w:rPr>
          <w:rFonts w:cstheme="minorHAnsi"/>
          <w:i/>
          <w:iCs/>
          <w:sz w:val="22"/>
        </w:rPr>
        <w:t>BIK - instytucj</w:t>
      </w:r>
      <w:r w:rsidR="00225350" w:rsidRPr="00773D6D">
        <w:rPr>
          <w:rFonts w:cstheme="minorHAnsi"/>
          <w:i/>
          <w:iCs/>
          <w:sz w:val="22"/>
        </w:rPr>
        <w:t>ą</w:t>
      </w:r>
      <w:r w:rsidR="00BE2F6A" w:rsidRPr="00773D6D">
        <w:rPr>
          <w:rFonts w:cstheme="minorHAnsi"/>
          <w:i/>
          <w:iCs/>
          <w:sz w:val="22"/>
        </w:rPr>
        <w:t xml:space="preserve"> wspierając</w:t>
      </w:r>
      <w:r w:rsidR="00225350" w:rsidRPr="00773D6D">
        <w:rPr>
          <w:rFonts w:cstheme="minorHAnsi"/>
          <w:i/>
          <w:iCs/>
          <w:sz w:val="22"/>
        </w:rPr>
        <w:t>ą</w:t>
      </w:r>
      <w:r w:rsidR="00BE2F6A" w:rsidRPr="00773D6D">
        <w:rPr>
          <w:rFonts w:cstheme="minorHAnsi"/>
          <w:i/>
          <w:iCs/>
          <w:sz w:val="22"/>
        </w:rPr>
        <w:t xml:space="preserve"> równowagę i bezpieczeństwo sektora finansowego</w:t>
      </w:r>
      <w:r w:rsidR="00225350" w:rsidRPr="00773D6D">
        <w:rPr>
          <w:rFonts w:cstheme="minorHAnsi"/>
          <w:i/>
          <w:iCs/>
          <w:sz w:val="22"/>
        </w:rPr>
        <w:t xml:space="preserve"> i jego klientów</w:t>
      </w:r>
      <w:r w:rsidR="00BE2F6A" w:rsidRPr="00773D6D">
        <w:rPr>
          <w:rFonts w:cstheme="minorHAnsi"/>
          <w:i/>
          <w:iCs/>
          <w:sz w:val="22"/>
        </w:rPr>
        <w:t>,</w:t>
      </w:r>
      <w:r w:rsidR="00BE2F6A" w:rsidRPr="00225350">
        <w:rPr>
          <w:rFonts w:cstheme="minorHAnsi"/>
          <w:i/>
          <w:iCs/>
          <w:sz w:val="22"/>
        </w:rPr>
        <w:t xml:space="preserve"> </w:t>
      </w:r>
      <w:r w:rsidR="00830DBF" w:rsidRPr="00225350">
        <w:rPr>
          <w:rFonts w:cstheme="minorHAnsi"/>
          <w:i/>
          <w:iCs/>
          <w:sz w:val="22"/>
        </w:rPr>
        <w:t>czujemy się w obowiązku kształtować wiedzę oraz świadomość konsumentów w zakresie odpow</w:t>
      </w:r>
      <w:r w:rsidR="00830DBF" w:rsidRPr="00830DBF">
        <w:rPr>
          <w:rFonts w:cstheme="minorHAnsi"/>
          <w:i/>
          <w:iCs/>
          <w:sz w:val="22"/>
        </w:rPr>
        <w:t>iedzialności finansowej</w:t>
      </w:r>
      <w:r w:rsidR="00830DBF" w:rsidRPr="00830DBF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– </w:t>
      </w:r>
      <w:r w:rsidR="0060147D">
        <w:rPr>
          <w:rFonts w:cstheme="minorHAnsi"/>
          <w:sz w:val="22"/>
        </w:rPr>
        <w:t>mówi</w:t>
      </w:r>
      <w:r>
        <w:rPr>
          <w:rFonts w:cstheme="minorHAnsi"/>
          <w:sz w:val="22"/>
        </w:rPr>
        <w:t xml:space="preserve"> </w:t>
      </w:r>
      <w:r w:rsidR="00773D6D">
        <w:rPr>
          <w:rFonts w:cstheme="minorHAnsi"/>
          <w:b/>
          <w:bCs/>
          <w:sz w:val="22"/>
        </w:rPr>
        <w:t xml:space="preserve">prof. </w:t>
      </w:r>
      <w:r w:rsidR="00DD596D">
        <w:rPr>
          <w:rFonts w:cstheme="minorHAnsi"/>
          <w:b/>
          <w:bCs/>
          <w:sz w:val="22"/>
        </w:rPr>
        <w:t xml:space="preserve">SGH </w:t>
      </w:r>
      <w:r w:rsidR="00830DBF" w:rsidRPr="00C90F2E">
        <w:rPr>
          <w:rFonts w:cstheme="minorHAnsi"/>
          <w:b/>
          <w:bCs/>
          <w:sz w:val="22"/>
        </w:rPr>
        <w:t>Piotr Wachowiak</w:t>
      </w:r>
      <w:r w:rsidR="00830DBF" w:rsidRPr="00830DBF">
        <w:rPr>
          <w:rFonts w:cstheme="minorHAnsi"/>
          <w:sz w:val="22"/>
        </w:rPr>
        <w:t xml:space="preserve">. </w:t>
      </w:r>
    </w:p>
    <w:p w14:paraId="3CE338EB" w14:textId="77777777" w:rsidR="000E74D8" w:rsidRDefault="000E74D8" w:rsidP="00830DBF">
      <w:pPr>
        <w:jc w:val="both"/>
        <w:rPr>
          <w:rFonts w:cstheme="minorHAnsi"/>
          <w:sz w:val="22"/>
        </w:rPr>
      </w:pPr>
    </w:p>
    <w:p w14:paraId="3DD29019" w14:textId="77777777" w:rsidR="00197383" w:rsidRDefault="00197383" w:rsidP="0086060C">
      <w:pPr>
        <w:jc w:val="both"/>
        <w:rPr>
          <w:i/>
          <w:iCs/>
        </w:rPr>
      </w:pPr>
    </w:p>
    <w:p w14:paraId="7A425470" w14:textId="77777777" w:rsidR="00197383" w:rsidRDefault="00197383" w:rsidP="0086060C">
      <w:pPr>
        <w:jc w:val="both"/>
        <w:rPr>
          <w:i/>
          <w:iCs/>
        </w:rPr>
      </w:pPr>
    </w:p>
    <w:p w14:paraId="5AC5BF13" w14:textId="77777777" w:rsidR="00197383" w:rsidRDefault="00197383" w:rsidP="0086060C">
      <w:pPr>
        <w:jc w:val="both"/>
        <w:rPr>
          <w:i/>
          <w:iCs/>
        </w:rPr>
      </w:pPr>
    </w:p>
    <w:p w14:paraId="548E0368" w14:textId="77777777" w:rsidR="00197383" w:rsidRDefault="00197383" w:rsidP="0086060C">
      <w:pPr>
        <w:jc w:val="both"/>
        <w:rPr>
          <w:i/>
          <w:iCs/>
        </w:rPr>
      </w:pPr>
    </w:p>
    <w:p w14:paraId="71B3611A" w14:textId="634E793D" w:rsidR="0086060C" w:rsidRPr="009E524C" w:rsidRDefault="0086060C" w:rsidP="0086060C">
      <w:pPr>
        <w:jc w:val="both"/>
        <w:rPr>
          <w:i/>
          <w:iCs/>
        </w:rPr>
      </w:pPr>
      <w:r w:rsidRPr="009E524C">
        <w:rPr>
          <w:i/>
          <w:iCs/>
        </w:rPr>
        <w:lastRenderedPageBreak/>
        <w:t>W tekście wykorzystane został</w:t>
      </w:r>
      <w:r w:rsidR="002A5930">
        <w:rPr>
          <w:i/>
          <w:iCs/>
        </w:rPr>
        <w:t xml:space="preserve">y fragmenty </w:t>
      </w:r>
      <w:r w:rsidRPr="009E524C">
        <w:rPr>
          <w:i/>
          <w:iCs/>
        </w:rPr>
        <w:t>badani</w:t>
      </w:r>
      <w:r w:rsidR="002A5930">
        <w:rPr>
          <w:i/>
          <w:iCs/>
        </w:rPr>
        <w:t>a opinii, pt.</w:t>
      </w:r>
      <w:r w:rsidRPr="009E524C">
        <w:rPr>
          <w:i/>
          <w:iCs/>
        </w:rPr>
        <w:t xml:space="preserve"> „Płatność odroczona wśród konsumentów w Polsce”, przeprowadzone na zlecenie Biura Informacji Kredytowej S.A., przez firmę Quality Watch, na reprezentatywnej grupie N=1064, w wieku 18+, w listopadzie 2022 r</w:t>
      </w:r>
      <w:r>
        <w:rPr>
          <w:i/>
          <w:iCs/>
        </w:rPr>
        <w:t>.</w:t>
      </w:r>
    </w:p>
    <w:p w14:paraId="4163611B" w14:textId="70DEDCD0" w:rsidR="0086060C" w:rsidRDefault="0086060C" w:rsidP="00830DBF">
      <w:pPr>
        <w:jc w:val="both"/>
        <w:rPr>
          <w:rFonts w:cstheme="minorHAnsi"/>
          <w:sz w:val="22"/>
        </w:rPr>
      </w:pPr>
    </w:p>
    <w:p w14:paraId="2092CB57" w14:textId="1862DF80" w:rsidR="00897ACC" w:rsidRPr="00D61CB3" w:rsidRDefault="00897ACC" w:rsidP="00897ACC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3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3"/>
      <w:r w:rsidRPr="00D61CB3">
        <w:rPr>
          <w:rFonts w:cstheme="minorHAnsi"/>
          <w:color w:val="595959"/>
          <w:sz w:val="16"/>
          <w:szCs w:val="16"/>
        </w:rPr>
        <w:t>, udostępniając bezpieczny system wymiany informacji kredytowych i gospodarczych oraz nowatorskie rozwiązania antyfraudowe</w:t>
      </w:r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9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0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1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antyfraudowe w portfolio BIK to: Platforma Antyfraudowa BIK, Platforma Blockchain, Platforma Cyber Fraud Detection oraz nowo budowana Platforma Biometrii Behawioralnej. BIK aktywnie  wspiera innowacje, stąd idea powołania p</w:t>
      </w:r>
      <w:r w:rsidRPr="00D61CB3">
        <w:rPr>
          <w:rFonts w:cstheme="minorHAnsi"/>
          <w:color w:val="595959"/>
          <w:sz w:val="16"/>
          <w:szCs w:val="16"/>
        </w:rPr>
        <w:t xml:space="preserve">iaskownicy technologicznej </w:t>
      </w:r>
      <w:hyperlink r:id="rId12" w:history="1">
        <w:r w:rsidRPr="00D61CB3">
          <w:rPr>
            <w:rStyle w:val="Hipercze"/>
            <w:rFonts w:cstheme="minorHAnsi"/>
            <w:sz w:val="16"/>
            <w:szCs w:val="16"/>
          </w:rPr>
          <w:t>BIK HUB</w:t>
        </w:r>
      </w:hyperlink>
      <w:r w:rsidRPr="00D61CB3">
        <w:rPr>
          <w:rFonts w:cstheme="minorHAnsi"/>
          <w:color w:val="595959"/>
          <w:sz w:val="16"/>
          <w:szCs w:val="16"/>
        </w:rPr>
        <w:t xml:space="preserve">, adresowanej do przedsiębiorców z sektora finansów, a także innych segmentów rynku, startupów, fintechów. 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pozabankowych. Baza BIK zawiera informacje o 164 mln rachunków należących do 25 mln klientów indywidualnych oraz 1,4 mln firm, w tym o 845 tys. mikroprzedsiębiorców prowadzących działalność gospodarczą. BIK posiada najwyższe kompetencje w zakresie </w:t>
      </w:r>
      <w:hyperlink r:id="rId13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4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4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  <w:r w:rsidR="00E47B47">
        <w:rPr>
          <w:rFonts w:cstheme="minorHAnsi"/>
          <w:bCs/>
          <w:color w:val="595959"/>
          <w:sz w:val="16"/>
          <w:szCs w:val="16"/>
        </w:rPr>
        <w:t xml:space="preserve">Od </w:t>
      </w:r>
      <w:r w:rsidR="00E47B47" w:rsidRPr="00E47B47">
        <w:rPr>
          <w:rFonts w:cstheme="minorHAnsi"/>
          <w:bCs/>
          <w:color w:val="595959"/>
          <w:sz w:val="16"/>
          <w:szCs w:val="16"/>
        </w:rPr>
        <w:t xml:space="preserve">w 2019 r. </w:t>
      </w:r>
      <w:r w:rsidR="00E47B47">
        <w:rPr>
          <w:rFonts w:cstheme="minorHAnsi"/>
          <w:bCs/>
          <w:color w:val="595959"/>
          <w:sz w:val="16"/>
          <w:szCs w:val="16"/>
        </w:rPr>
        <w:t>w ramach</w:t>
      </w:r>
      <w:r w:rsidR="00E47B47" w:rsidRPr="00E47B47">
        <w:rPr>
          <w:rFonts w:cstheme="minorHAnsi"/>
          <w:bCs/>
          <w:color w:val="595959"/>
          <w:sz w:val="16"/>
          <w:szCs w:val="16"/>
        </w:rPr>
        <w:t xml:space="preserve"> współpracy ze Szkołą Główną Handlową</w:t>
      </w:r>
      <w:r w:rsidR="00E47B47">
        <w:rPr>
          <w:rFonts w:cstheme="minorHAnsi"/>
          <w:bCs/>
          <w:color w:val="595959"/>
          <w:sz w:val="16"/>
          <w:szCs w:val="16"/>
        </w:rPr>
        <w:t xml:space="preserve">, BIK </w:t>
      </w:r>
      <w:r w:rsidR="00E47B47" w:rsidRPr="00E47B47">
        <w:rPr>
          <w:rFonts w:cstheme="minorHAnsi"/>
          <w:bCs/>
          <w:color w:val="595959"/>
          <w:sz w:val="16"/>
          <w:szCs w:val="16"/>
        </w:rPr>
        <w:t>przystąpi</w:t>
      </w:r>
      <w:r w:rsidR="00E47B47">
        <w:rPr>
          <w:rFonts w:cstheme="minorHAnsi"/>
          <w:bCs/>
          <w:color w:val="595959"/>
          <w:sz w:val="16"/>
          <w:szCs w:val="16"/>
        </w:rPr>
        <w:t>ł</w:t>
      </w:r>
      <w:r w:rsidR="00E47B47" w:rsidRPr="00E47B47">
        <w:rPr>
          <w:rFonts w:cstheme="minorHAnsi"/>
          <w:bCs/>
          <w:color w:val="595959"/>
          <w:sz w:val="16"/>
          <w:szCs w:val="16"/>
        </w:rPr>
        <w:t xml:space="preserve"> do Klubu Partnerów SGH.</w:t>
      </w:r>
    </w:p>
    <w:p w14:paraId="044DBA2A" w14:textId="3A8F7F14" w:rsidR="003700F6" w:rsidRDefault="003700F6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</w:p>
    <w:p w14:paraId="31F060DA" w14:textId="53DFED04" w:rsidR="003700F6" w:rsidRPr="003700F6" w:rsidRDefault="003700F6" w:rsidP="003700F6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3700F6">
        <w:rPr>
          <w:b/>
          <w:color w:val="595959"/>
          <w:sz w:val="16"/>
          <w:szCs w:val="16"/>
        </w:rPr>
        <w:t>Szkoła Główna Handlowa w Warszawie</w:t>
      </w:r>
      <w:r>
        <w:rPr>
          <w:bCs/>
          <w:color w:val="595959"/>
          <w:sz w:val="16"/>
          <w:szCs w:val="16"/>
        </w:rPr>
        <w:t xml:space="preserve"> </w:t>
      </w:r>
      <w:r w:rsidRPr="003700F6">
        <w:rPr>
          <w:bCs/>
          <w:color w:val="595959"/>
          <w:sz w:val="16"/>
          <w:szCs w:val="16"/>
        </w:rPr>
        <w:t xml:space="preserve">to innowacyjna </w:t>
      </w:r>
      <w:r w:rsidRPr="0063496F">
        <w:rPr>
          <w:bCs/>
          <w:color w:val="595959"/>
          <w:sz w:val="16"/>
          <w:szCs w:val="16"/>
        </w:rPr>
        <w:t xml:space="preserve">uczelnia ekonomiczna kształcąca liderów życia gospodarczego i społecznego. Uczelnia jest znaczącym ośrodkiem badań naukowych, nowych idei i inicjatyw, kreowanych przez wspólnotę akademicką, absolwentów, a także przedstawicieli biznesu, organizacji społecznych i administracji publicznej. Realizuje badania i opracowuje ekspertyzy na zamówienia przedsiębiorstw, instytucji publicznych i jednostek samorządu terytorialnego. SGH, niezależna i wrażliwa społecznie, rozwija obywatelskie oraz etyczne postawy poprzez swoją działalność dydaktyczną, badawczą i opiniotwórczą. Jej celem jest też </w:t>
      </w:r>
      <w:r w:rsidR="00F23D85">
        <w:rPr>
          <w:bCs/>
          <w:color w:val="595959"/>
          <w:sz w:val="16"/>
          <w:szCs w:val="16"/>
        </w:rPr>
        <w:t>kształtowanie</w:t>
      </w:r>
      <w:r w:rsidRPr="0063496F">
        <w:rPr>
          <w:bCs/>
          <w:color w:val="595959"/>
          <w:sz w:val="16"/>
          <w:szCs w:val="16"/>
        </w:rPr>
        <w:t xml:space="preserve"> przyszłych liderów, dlatego rozbudza w studentach otwartość na różnorodność świata, wyrabia umiejętność obserwowania i rozumienia pewnych procesów, a jednocześnie uczy mierzenia się z wyzwaniami szybko zmieniającej się rzeczywistości społecznej i gospodarczej. Łącząc</w:t>
      </w:r>
      <w:r w:rsidRPr="003700F6">
        <w:rPr>
          <w:bCs/>
          <w:color w:val="595959"/>
          <w:sz w:val="16"/>
          <w:szCs w:val="16"/>
        </w:rPr>
        <w:t xml:space="preserve"> praktyczne doświadczenie z teorią, SGH zachęca swoich partnerów do pokazywania studentom i studentkom, jak właściwie wykorzystać zdobytą wiedzę i umiejętności, aby przekuć je w sukces</w:t>
      </w:r>
      <w:r w:rsidR="00587CF8">
        <w:rPr>
          <w:bCs/>
          <w:color w:val="595959"/>
          <w:sz w:val="16"/>
          <w:szCs w:val="16"/>
        </w:rPr>
        <w:t xml:space="preserve">. Więcej </w:t>
      </w:r>
      <w:r w:rsidR="00220DAF">
        <w:rPr>
          <w:bCs/>
          <w:color w:val="595959"/>
          <w:sz w:val="16"/>
          <w:szCs w:val="16"/>
        </w:rPr>
        <w:t>informacji</w:t>
      </w:r>
      <w:r w:rsidR="00587CF8">
        <w:rPr>
          <w:bCs/>
          <w:color w:val="595959"/>
          <w:sz w:val="16"/>
          <w:szCs w:val="16"/>
        </w:rPr>
        <w:t>:</w:t>
      </w:r>
      <w:r w:rsidR="00503A8A">
        <w:rPr>
          <w:bCs/>
          <w:color w:val="595959"/>
          <w:sz w:val="16"/>
          <w:szCs w:val="16"/>
        </w:rPr>
        <w:t xml:space="preserve"> </w:t>
      </w:r>
      <w:hyperlink r:id="rId14" w:history="1">
        <w:r w:rsidR="00503A8A" w:rsidRPr="00CF7C5C">
          <w:rPr>
            <w:rStyle w:val="Hipercze"/>
            <w:bCs/>
            <w:sz w:val="16"/>
            <w:szCs w:val="16"/>
          </w:rPr>
          <w:t>www.sgh.waw.pl</w:t>
        </w:r>
      </w:hyperlink>
      <w:r w:rsidR="00503A8A">
        <w:rPr>
          <w:bCs/>
          <w:color w:val="595959"/>
          <w:sz w:val="16"/>
          <w:szCs w:val="16"/>
        </w:rPr>
        <w:t xml:space="preserve"> </w:t>
      </w:r>
    </w:p>
    <w:p w14:paraId="49508E2C" w14:textId="5860CB4C" w:rsidR="003700F6" w:rsidRPr="00C06041" w:rsidRDefault="003700F6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</w:p>
    <w:p w14:paraId="465CC8C4" w14:textId="2AB70E9D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2813"/>
        <w:gridCol w:w="236"/>
      </w:tblGrid>
      <w:tr w:rsidR="007F4043" w:rsidRPr="001D1404" w14:paraId="568178D8" w14:textId="77777777" w:rsidTr="00FA3A05">
        <w:trPr>
          <w:trHeight w:val="964"/>
        </w:trPr>
        <w:tc>
          <w:tcPr>
            <w:tcW w:w="2813" w:type="dxa"/>
          </w:tcPr>
          <w:p w14:paraId="1D0DA2FF" w14:textId="77777777" w:rsidR="007F4043" w:rsidRPr="002F6CB6" w:rsidRDefault="007F4043" w:rsidP="00FA3A05">
            <w:pPr>
              <w:spacing w:after="60" w:line="240" w:lineRule="auto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Kontakt dla mediów:</w:t>
            </w:r>
          </w:p>
          <w:p w14:paraId="2F32E023" w14:textId="77777777" w:rsidR="007F4043" w:rsidRPr="002F6CB6" w:rsidRDefault="007F4043" w:rsidP="00FA3A05">
            <w:pPr>
              <w:spacing w:line="240" w:lineRule="auto"/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b/>
                <w:color w:val="595959"/>
                <w:sz w:val="16"/>
                <w:szCs w:val="16"/>
              </w:rPr>
              <w:t>Aleksandra Stankiewicz-Billewicz</w:t>
            </w:r>
          </w:p>
          <w:p w14:paraId="4DCD6DD7" w14:textId="77777777" w:rsidR="007F4043" w:rsidRPr="002F6CB6" w:rsidRDefault="007F4043" w:rsidP="00FA3A05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 xml:space="preserve">Biuro prasowe BIK </w:t>
            </w:r>
          </w:p>
          <w:p w14:paraId="3CC5E400" w14:textId="77777777" w:rsidR="007F4043" w:rsidRPr="002F6CB6" w:rsidRDefault="007F4043" w:rsidP="00FA3A05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kom.:  + 48 512 164 131</w:t>
            </w:r>
          </w:p>
          <w:p w14:paraId="0EC8B962" w14:textId="77777777" w:rsidR="007F4043" w:rsidRPr="002F6CB6" w:rsidRDefault="00000000" w:rsidP="00FA3A05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hyperlink r:id="rId15" w:history="1">
              <w:r w:rsidR="007F4043" w:rsidRPr="002F6CB6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sv-SE"/>
                </w:rPr>
                <w:t>aleksandra.stankiewicz-billewicz@bik.pl</w:t>
              </w:r>
            </w:hyperlink>
            <w:r w:rsidR="007F4043"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457C8EDC" w14:textId="77777777" w:rsidR="007F4043" w:rsidRPr="000203EE" w:rsidRDefault="007F4043" w:rsidP="00FA3A05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  <w:lang w:val="sv-SE"/>
              </w:rPr>
            </w:pPr>
          </w:p>
        </w:tc>
      </w:tr>
    </w:tbl>
    <w:p w14:paraId="1527BD08" w14:textId="77777777" w:rsidR="007F4043" w:rsidRDefault="007F4043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36791FBB" w14:textId="77777777" w:rsidR="003F69FF" w:rsidRDefault="003F69FF" w:rsidP="002B3FE4">
      <w:pPr>
        <w:rPr>
          <w:rFonts w:ascii="Calibri" w:hAnsi="Calibri"/>
          <w:b/>
          <w:color w:val="595959"/>
          <w:sz w:val="16"/>
          <w:szCs w:val="16"/>
        </w:rPr>
      </w:pPr>
      <w:r w:rsidRPr="003F69FF">
        <w:rPr>
          <w:rFonts w:ascii="Calibri" w:hAnsi="Calibri"/>
          <w:b/>
          <w:color w:val="595959"/>
          <w:sz w:val="16"/>
          <w:szCs w:val="16"/>
        </w:rPr>
        <w:t>Mariusz Sielski</w:t>
      </w:r>
    </w:p>
    <w:p w14:paraId="25626B83" w14:textId="7596D513" w:rsidR="003700F6" w:rsidRDefault="0063496F" w:rsidP="002B3FE4">
      <w:pPr>
        <w:rPr>
          <w:rFonts w:ascii="Calibri" w:hAnsi="Calibri"/>
          <w:bCs/>
          <w:color w:val="595959"/>
          <w:sz w:val="16"/>
          <w:szCs w:val="16"/>
        </w:rPr>
      </w:pPr>
      <w:r>
        <w:rPr>
          <w:rFonts w:ascii="Calibri" w:hAnsi="Calibri"/>
          <w:bCs/>
          <w:color w:val="595959"/>
          <w:sz w:val="16"/>
          <w:szCs w:val="16"/>
        </w:rPr>
        <w:t>R</w:t>
      </w:r>
      <w:r w:rsidR="003700F6">
        <w:rPr>
          <w:rFonts w:ascii="Calibri" w:hAnsi="Calibri"/>
          <w:bCs/>
          <w:color w:val="595959"/>
          <w:sz w:val="16"/>
          <w:szCs w:val="16"/>
        </w:rPr>
        <w:t>zecznik prasowy SGH</w:t>
      </w:r>
    </w:p>
    <w:p w14:paraId="6BB5BDA4" w14:textId="65D3BD7A" w:rsidR="003700F6" w:rsidRPr="003700F6" w:rsidRDefault="003700F6" w:rsidP="003F69FF">
      <w:pPr>
        <w:spacing w:line="240" w:lineRule="auto"/>
        <w:rPr>
          <w:rFonts w:ascii="Calibri" w:hAnsi="Calibri"/>
          <w:bCs/>
          <w:color w:val="595959"/>
          <w:sz w:val="16"/>
          <w:szCs w:val="16"/>
        </w:rPr>
      </w:pPr>
      <w:r>
        <w:rPr>
          <w:rFonts w:ascii="Calibri" w:hAnsi="Calibri"/>
          <w:bCs/>
          <w:color w:val="595959"/>
          <w:sz w:val="16"/>
          <w:szCs w:val="16"/>
        </w:rPr>
        <w:t>kom.</w:t>
      </w:r>
      <w:r w:rsidR="003F69FF">
        <w:rPr>
          <w:rFonts w:ascii="Calibri" w:hAnsi="Calibri"/>
          <w:bCs/>
          <w:color w:val="595959"/>
          <w:sz w:val="16"/>
          <w:szCs w:val="16"/>
        </w:rPr>
        <w:t>:</w:t>
      </w:r>
      <w:r w:rsidR="00FB59B7">
        <w:rPr>
          <w:rFonts w:ascii="Calibri" w:hAnsi="Calibri"/>
          <w:bCs/>
          <w:color w:val="595959"/>
          <w:sz w:val="16"/>
          <w:szCs w:val="16"/>
        </w:rPr>
        <w:t xml:space="preserve"> </w:t>
      </w:r>
      <w:r w:rsidR="004F29A5">
        <w:rPr>
          <w:rFonts w:ascii="Calibri" w:hAnsi="Calibri"/>
          <w:bCs/>
          <w:color w:val="595959"/>
          <w:sz w:val="16"/>
          <w:szCs w:val="16"/>
        </w:rPr>
        <w:t xml:space="preserve">+ 48 </w:t>
      </w:r>
      <w:r w:rsidR="00FB59B7">
        <w:rPr>
          <w:rFonts w:ascii="Calibri" w:hAnsi="Calibri"/>
          <w:bCs/>
          <w:color w:val="595959"/>
          <w:sz w:val="16"/>
          <w:szCs w:val="16"/>
        </w:rPr>
        <w:t xml:space="preserve">691 112 448 </w:t>
      </w:r>
      <w:r w:rsidR="003F69FF">
        <w:rPr>
          <w:rFonts w:ascii="Calibri" w:hAnsi="Calibri"/>
          <w:bCs/>
          <w:color w:val="595959"/>
          <w:sz w:val="16"/>
          <w:szCs w:val="16"/>
        </w:rPr>
        <w:br/>
      </w:r>
      <w:hyperlink r:id="rId16" w:history="1">
        <w:r w:rsidR="003F69FF" w:rsidRPr="004465D1">
          <w:rPr>
            <w:rStyle w:val="Hipercze"/>
            <w:rFonts w:ascii="Calibri" w:hAnsi="Calibri"/>
            <w:bCs/>
            <w:sz w:val="16"/>
            <w:szCs w:val="16"/>
          </w:rPr>
          <w:t>rzecznik@sgh.waw.pl</w:t>
        </w:r>
      </w:hyperlink>
      <w:r w:rsidR="003F69FF">
        <w:rPr>
          <w:rFonts w:ascii="Calibri" w:hAnsi="Calibri"/>
          <w:bCs/>
          <w:color w:val="595959"/>
          <w:sz w:val="16"/>
          <w:szCs w:val="16"/>
        </w:rPr>
        <w:t xml:space="preserve"> </w:t>
      </w:r>
    </w:p>
    <w:sectPr w:rsidR="003700F6" w:rsidRPr="003700F6" w:rsidSect="00E53739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E89C" w14:textId="77777777" w:rsidR="004503F2" w:rsidRDefault="004503F2" w:rsidP="00866834">
      <w:r>
        <w:separator/>
      </w:r>
    </w:p>
    <w:p w14:paraId="364B7566" w14:textId="77777777" w:rsidR="004503F2" w:rsidRDefault="004503F2"/>
  </w:endnote>
  <w:endnote w:type="continuationSeparator" w:id="0">
    <w:p w14:paraId="431359DD" w14:textId="77777777" w:rsidR="004503F2" w:rsidRDefault="004503F2" w:rsidP="00866834">
      <w:r>
        <w:continuationSeparator/>
      </w:r>
    </w:p>
    <w:p w14:paraId="586B4CAC" w14:textId="77777777" w:rsidR="004503F2" w:rsidRDefault="004503F2"/>
  </w:endnote>
  <w:endnote w:type="continuationNotice" w:id="1">
    <w:p w14:paraId="0F3E3FA8" w14:textId="77777777" w:rsidR="004503F2" w:rsidRDefault="004503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51D5BE8D" w:rsidR="00996627" w:rsidRPr="00725618" w:rsidRDefault="00B627CF" w:rsidP="00996627">
    <w:pPr>
      <w:pStyle w:val="BIK-Stopka"/>
    </w:pPr>
    <w:r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DD556D">
      <w:rPr>
        <w:noProof/>
      </w:rPr>
      <w:t>4</w:t>
    </w:r>
    <w:r>
      <w:fldChar w:fldCharType="end"/>
    </w:r>
    <w:r>
      <w:t>/</w:t>
    </w:r>
    <w:fldSimple w:instr="NUMPAGES  \* Arabic  \* MERGEFORMAT">
      <w:r w:rsidR="00DD556D">
        <w:rPr>
          <w:noProof/>
        </w:rPr>
        <w:t>4</w:t>
      </w:r>
    </w:fldSimple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0FFBFA3F" w:rsidR="00CC4824" w:rsidRPr="00725618" w:rsidRDefault="00B627CF" w:rsidP="00CC4824">
    <w:pPr>
      <w:pStyle w:val="BIK-Stopka"/>
    </w:pPr>
    <w:r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DD556D">
      <w:rPr>
        <w:noProof/>
      </w:rPr>
      <w:t>1</w:t>
    </w:r>
    <w:r>
      <w:fldChar w:fldCharType="end"/>
    </w:r>
    <w:r>
      <w:t>/</w:t>
    </w:r>
    <w:fldSimple w:instr="NUMPAGES  \* Arabic  \* MERGEFORMAT">
      <w:r w:rsidR="00DD556D">
        <w:rPr>
          <w:noProof/>
        </w:rPr>
        <w:t>4</w:t>
      </w:r>
    </w:fldSimple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FC09" w14:textId="77777777" w:rsidR="004503F2" w:rsidRDefault="004503F2" w:rsidP="00866834">
      <w:r>
        <w:separator/>
      </w:r>
    </w:p>
    <w:p w14:paraId="0B719274" w14:textId="77777777" w:rsidR="004503F2" w:rsidRDefault="004503F2"/>
  </w:footnote>
  <w:footnote w:type="continuationSeparator" w:id="0">
    <w:p w14:paraId="3230BF06" w14:textId="77777777" w:rsidR="004503F2" w:rsidRDefault="004503F2" w:rsidP="00866834">
      <w:r>
        <w:continuationSeparator/>
      </w:r>
    </w:p>
    <w:p w14:paraId="131D1E4D" w14:textId="77777777" w:rsidR="004503F2" w:rsidRDefault="004503F2"/>
  </w:footnote>
  <w:footnote w:type="continuationNotice" w:id="1">
    <w:p w14:paraId="70F6ADAF" w14:textId="77777777" w:rsidR="004503F2" w:rsidRDefault="004503F2">
      <w:pPr>
        <w:spacing w:line="240" w:lineRule="auto"/>
      </w:pPr>
    </w:p>
  </w:footnote>
  <w:footnote w:id="2">
    <w:p w14:paraId="2EC059E2" w14:textId="7188DEB2" w:rsidR="00A62CA7" w:rsidRPr="00197383" w:rsidRDefault="00A01D92" w:rsidP="00917F77">
      <w:r w:rsidRPr="00917F77">
        <w:rPr>
          <w:rStyle w:val="Odwoanieprzypisudolnego"/>
        </w:rPr>
        <w:footnoteRef/>
      </w:r>
      <w:r w:rsidRPr="00197383">
        <w:t xml:space="preserve"> </w:t>
      </w:r>
      <w:r w:rsidR="00175C4D" w:rsidRPr="00197383">
        <w:t xml:space="preserve">Źródła: </w:t>
      </w:r>
      <w:hyperlink r:id="rId1" w:history="1">
        <w:r w:rsidR="00A62CA7" w:rsidRPr="00197383">
          <w:rPr>
            <w:rStyle w:val="Hipercze"/>
          </w:rPr>
          <w:t>https://thepaypers.com/expert-opinion/buy-now-pay-later-series-ii-regulations-and-risks--1249259</w:t>
        </w:r>
      </w:hyperlink>
      <w:r w:rsidR="00A62CA7" w:rsidRPr="00197383">
        <w:t>;</w:t>
      </w:r>
    </w:p>
    <w:p w14:paraId="39B062CE" w14:textId="2CBE545E" w:rsidR="00917F77" w:rsidRPr="0092334C" w:rsidRDefault="00000000" w:rsidP="00917F77">
      <w:pPr>
        <w:rPr>
          <w:rFonts w:cstheme="minorHAnsi"/>
          <w:i/>
          <w:iCs/>
          <w:szCs w:val="20"/>
          <w:lang w:val="en-GB"/>
        </w:rPr>
      </w:pPr>
      <w:hyperlink w:history="1"/>
      <w:hyperlink r:id="rId2" w:history="1">
        <w:r w:rsidR="00917F77" w:rsidRPr="0092334C">
          <w:rPr>
            <w:rStyle w:val="cf01"/>
            <w:rFonts w:asciiTheme="minorHAnsi" w:hAnsiTheme="minorHAnsi" w:cstheme="minorHAnsi"/>
            <w:i/>
            <w:iCs/>
            <w:color w:val="0000FF"/>
            <w:sz w:val="20"/>
            <w:szCs w:val="20"/>
            <w:u w:val="single"/>
            <w:lang w:val="en-GB"/>
          </w:rPr>
          <w:t>https://files.consumerfinance.gov/f/documents/cfpb_buy-now-pay-later-market-trends-consumer-impacts_report_2022-09.pdf</w:t>
        </w:r>
      </w:hyperlink>
      <w:r w:rsidR="00917F77" w:rsidRPr="0092334C">
        <w:rPr>
          <w:rFonts w:cstheme="minorHAnsi"/>
          <w:i/>
          <w:iCs/>
          <w:szCs w:val="20"/>
          <w:lang w:val="en-GB"/>
        </w:rPr>
        <w:t xml:space="preserve">; </w:t>
      </w:r>
      <w:r w:rsidR="00175C4D">
        <w:rPr>
          <w:rFonts w:cstheme="minorHAnsi"/>
          <w:i/>
          <w:iCs/>
          <w:szCs w:val="20"/>
          <w:lang w:val="en-GB"/>
        </w:rPr>
        <w:br/>
      </w:r>
      <w:r w:rsidR="00917F77" w:rsidRPr="0092334C">
        <w:rPr>
          <w:rStyle w:val="cf31"/>
          <w:rFonts w:asciiTheme="minorHAnsi" w:hAnsiTheme="minorHAnsi" w:cstheme="minorHAnsi"/>
          <w:i/>
          <w:iCs/>
          <w:sz w:val="20"/>
          <w:szCs w:val="20"/>
          <w:lang w:val="en-GB"/>
        </w:rPr>
        <w:t>Statista presents: Webinar, Buy Now, Pay Later, 20.10.2022</w:t>
      </w:r>
      <w:r w:rsidR="00A62CA7">
        <w:rPr>
          <w:rStyle w:val="cf31"/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r</w:t>
      </w:r>
      <w:r w:rsidR="00EA2B2B">
        <w:rPr>
          <w:rStyle w:val="cf31"/>
          <w:rFonts w:asciiTheme="minorHAnsi" w:hAnsiTheme="minorHAnsi" w:cstheme="minorHAnsi"/>
          <w:i/>
          <w:iCs/>
          <w:sz w:val="20"/>
          <w:szCs w:val="20"/>
          <w:lang w:val="en-GB"/>
        </w:rPr>
        <w:t>.</w:t>
      </w:r>
      <w:r w:rsidR="00917F77" w:rsidRPr="0092334C">
        <w:rPr>
          <w:rStyle w:val="cf31"/>
          <w:rFonts w:asciiTheme="minorHAnsi" w:hAnsiTheme="minorHAnsi" w:cstheme="minorHAnsi"/>
          <w:i/>
          <w:iCs/>
          <w:sz w:val="20"/>
          <w:szCs w:val="20"/>
          <w:lang w:val="en-GB"/>
        </w:rPr>
        <w:t xml:space="preserve"> </w:t>
      </w:r>
    </w:p>
    <w:p w14:paraId="6CB9277C" w14:textId="77777777" w:rsidR="00917F77" w:rsidRPr="00787AAE" w:rsidRDefault="00917F77" w:rsidP="00A01D92">
      <w:pPr>
        <w:jc w:val="both"/>
        <w:rPr>
          <w:rStyle w:val="Hipercze"/>
          <w:i/>
          <w:iCs/>
          <w:lang w:val="en-US"/>
        </w:rPr>
      </w:pPr>
    </w:p>
    <w:p w14:paraId="700AC214" w14:textId="77777777" w:rsidR="00917F77" w:rsidRPr="00C36A17" w:rsidRDefault="00917F77" w:rsidP="00A01D92">
      <w:pPr>
        <w:jc w:val="both"/>
        <w:rPr>
          <w:i/>
          <w:iCs/>
          <w:lang w:val="en-US"/>
        </w:rPr>
      </w:pPr>
    </w:p>
    <w:p w14:paraId="0C3E143B" w14:textId="5C24DBD0" w:rsidR="00A01D92" w:rsidRPr="00C36A17" w:rsidRDefault="00A01D92">
      <w:pPr>
        <w:pStyle w:val="Tekstprzypisudolnego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E5ED" w14:textId="2ADF9621" w:rsidR="00B57186" w:rsidRDefault="00175C4D">
    <w:pPr>
      <w:pStyle w:val="Nagwek"/>
    </w:pPr>
    <w:r>
      <w:rPr>
        <w:noProof/>
        <w:lang w:eastAsia="pl-PL"/>
      </w:rPr>
      <w:drawing>
        <wp:anchor distT="0" distB="702310" distL="114300" distR="114300" simplePos="0" relativeHeight="251679232" behindDoc="0" locked="0" layoutInCell="0" allowOverlap="0" wp14:anchorId="0751F33A" wp14:editId="213715FE">
          <wp:simplePos x="0" y="0"/>
          <wp:positionH relativeFrom="page">
            <wp:align>left</wp:align>
          </wp:positionH>
          <wp:positionV relativeFrom="topMargin">
            <wp:posOffset>-137069</wp:posOffset>
          </wp:positionV>
          <wp:extent cx="3421380" cy="1120140"/>
          <wp:effectExtent l="0" t="0" r="762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38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0256" behindDoc="0" locked="0" layoutInCell="1" allowOverlap="1" wp14:anchorId="612ADA60" wp14:editId="7D0A76A2">
          <wp:simplePos x="0" y="0"/>
          <wp:positionH relativeFrom="margin">
            <wp:posOffset>4504600</wp:posOffset>
          </wp:positionH>
          <wp:positionV relativeFrom="margin">
            <wp:posOffset>-698500</wp:posOffset>
          </wp:positionV>
          <wp:extent cx="1017270" cy="1017270"/>
          <wp:effectExtent l="0" t="0" r="0" b="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841"/>
        </w:tabs>
        <w:ind w:left="1841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C023A"/>
    <w:multiLevelType w:val="hybridMultilevel"/>
    <w:tmpl w:val="2102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0CF5"/>
    <w:multiLevelType w:val="hybridMultilevel"/>
    <w:tmpl w:val="7FDC8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14184"/>
    <w:multiLevelType w:val="hybridMultilevel"/>
    <w:tmpl w:val="2BF01CD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457615FE"/>
    <w:multiLevelType w:val="hybridMultilevel"/>
    <w:tmpl w:val="BE1C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3F30648"/>
    <w:multiLevelType w:val="hybridMultilevel"/>
    <w:tmpl w:val="7368FD76"/>
    <w:lvl w:ilvl="0" w:tplc="1D189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66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28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C3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C2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21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48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C3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6A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014331">
    <w:abstractNumId w:val="9"/>
  </w:num>
  <w:num w:numId="2" w16cid:durableId="432362905">
    <w:abstractNumId w:val="8"/>
  </w:num>
  <w:num w:numId="3" w16cid:durableId="1894153478">
    <w:abstractNumId w:val="3"/>
  </w:num>
  <w:num w:numId="4" w16cid:durableId="1206483817">
    <w:abstractNumId w:val="2"/>
  </w:num>
  <w:num w:numId="5" w16cid:durableId="603390054">
    <w:abstractNumId w:val="1"/>
  </w:num>
  <w:num w:numId="6" w16cid:durableId="1563953236">
    <w:abstractNumId w:val="0"/>
  </w:num>
  <w:num w:numId="7" w16cid:durableId="1918784867">
    <w:abstractNumId w:val="7"/>
  </w:num>
  <w:num w:numId="8" w16cid:durableId="1477841565">
    <w:abstractNumId w:val="6"/>
  </w:num>
  <w:num w:numId="9" w16cid:durableId="1637295109">
    <w:abstractNumId w:val="5"/>
  </w:num>
  <w:num w:numId="10" w16cid:durableId="1329482917">
    <w:abstractNumId w:val="4"/>
  </w:num>
  <w:num w:numId="11" w16cid:durableId="1953197916">
    <w:abstractNumId w:val="17"/>
  </w:num>
  <w:num w:numId="12" w16cid:durableId="1045524431">
    <w:abstractNumId w:val="14"/>
  </w:num>
  <w:num w:numId="13" w16cid:durableId="484443755">
    <w:abstractNumId w:val="16"/>
  </w:num>
  <w:num w:numId="14" w16cid:durableId="686252744">
    <w:abstractNumId w:val="10"/>
  </w:num>
  <w:num w:numId="15" w16cid:durableId="523715046">
    <w:abstractNumId w:val="13"/>
  </w:num>
  <w:num w:numId="16" w16cid:durableId="1838114024">
    <w:abstractNumId w:val="11"/>
  </w:num>
  <w:num w:numId="17" w16cid:durableId="1125778317">
    <w:abstractNumId w:val="12"/>
  </w:num>
  <w:num w:numId="18" w16cid:durableId="9069191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05B70"/>
    <w:rsid w:val="0001284E"/>
    <w:rsid w:val="00016952"/>
    <w:rsid w:val="0003507A"/>
    <w:rsid w:val="00052C37"/>
    <w:rsid w:val="00070141"/>
    <w:rsid w:val="00070438"/>
    <w:rsid w:val="00072781"/>
    <w:rsid w:val="00077647"/>
    <w:rsid w:val="00081407"/>
    <w:rsid w:val="000908AF"/>
    <w:rsid w:val="00091E0F"/>
    <w:rsid w:val="000A1F53"/>
    <w:rsid w:val="000B0755"/>
    <w:rsid w:val="000B2B59"/>
    <w:rsid w:val="000C46AD"/>
    <w:rsid w:val="000C4AD1"/>
    <w:rsid w:val="000E3C74"/>
    <w:rsid w:val="000E4491"/>
    <w:rsid w:val="000E74D8"/>
    <w:rsid w:val="00103A53"/>
    <w:rsid w:val="0010407D"/>
    <w:rsid w:val="00105F32"/>
    <w:rsid w:val="001125DB"/>
    <w:rsid w:val="001130CA"/>
    <w:rsid w:val="00115AEF"/>
    <w:rsid w:val="00115EEE"/>
    <w:rsid w:val="00124A23"/>
    <w:rsid w:val="0013027F"/>
    <w:rsid w:val="001313A4"/>
    <w:rsid w:val="0014528E"/>
    <w:rsid w:val="00162D9C"/>
    <w:rsid w:val="001661AF"/>
    <w:rsid w:val="00166F6F"/>
    <w:rsid w:val="00170FC3"/>
    <w:rsid w:val="001718BB"/>
    <w:rsid w:val="00171AC4"/>
    <w:rsid w:val="00175C4D"/>
    <w:rsid w:val="0017730C"/>
    <w:rsid w:val="00182BA9"/>
    <w:rsid w:val="00184906"/>
    <w:rsid w:val="00186BF1"/>
    <w:rsid w:val="001872A7"/>
    <w:rsid w:val="00197383"/>
    <w:rsid w:val="001A01EF"/>
    <w:rsid w:val="001A1682"/>
    <w:rsid w:val="001A5507"/>
    <w:rsid w:val="001B043C"/>
    <w:rsid w:val="001B7377"/>
    <w:rsid w:val="001D0145"/>
    <w:rsid w:val="001E4E47"/>
    <w:rsid w:val="001E7DAD"/>
    <w:rsid w:val="001F60E6"/>
    <w:rsid w:val="001F6BED"/>
    <w:rsid w:val="002034E4"/>
    <w:rsid w:val="00217F81"/>
    <w:rsid w:val="00220DAF"/>
    <w:rsid w:val="0022264D"/>
    <w:rsid w:val="00225350"/>
    <w:rsid w:val="00231524"/>
    <w:rsid w:val="00233D95"/>
    <w:rsid w:val="0023511B"/>
    <w:rsid w:val="002369BF"/>
    <w:rsid w:val="002436C3"/>
    <w:rsid w:val="0025373D"/>
    <w:rsid w:val="00262833"/>
    <w:rsid w:val="002633E0"/>
    <w:rsid w:val="00267C93"/>
    <w:rsid w:val="00287FD0"/>
    <w:rsid w:val="00290B54"/>
    <w:rsid w:val="002971C2"/>
    <w:rsid w:val="002A0630"/>
    <w:rsid w:val="002A2EB7"/>
    <w:rsid w:val="002A5930"/>
    <w:rsid w:val="002B3EAC"/>
    <w:rsid w:val="002B3FE4"/>
    <w:rsid w:val="002D00AF"/>
    <w:rsid w:val="002D190A"/>
    <w:rsid w:val="002D1CE5"/>
    <w:rsid w:val="002D3C63"/>
    <w:rsid w:val="002D4419"/>
    <w:rsid w:val="002D48BE"/>
    <w:rsid w:val="002D745D"/>
    <w:rsid w:val="002E29B1"/>
    <w:rsid w:val="002F0767"/>
    <w:rsid w:val="002F39DD"/>
    <w:rsid w:val="002F4540"/>
    <w:rsid w:val="002F51AF"/>
    <w:rsid w:val="002F7017"/>
    <w:rsid w:val="00300DB3"/>
    <w:rsid w:val="00301E1C"/>
    <w:rsid w:val="0030598A"/>
    <w:rsid w:val="0031648A"/>
    <w:rsid w:val="003222D1"/>
    <w:rsid w:val="003302A6"/>
    <w:rsid w:val="00335F9F"/>
    <w:rsid w:val="0034427A"/>
    <w:rsid w:val="003444F6"/>
    <w:rsid w:val="003446F2"/>
    <w:rsid w:val="00346C00"/>
    <w:rsid w:val="0035787B"/>
    <w:rsid w:val="00364977"/>
    <w:rsid w:val="00367911"/>
    <w:rsid w:val="00367BE5"/>
    <w:rsid w:val="003700F6"/>
    <w:rsid w:val="00372135"/>
    <w:rsid w:val="003831BF"/>
    <w:rsid w:val="00387C34"/>
    <w:rsid w:val="0039664D"/>
    <w:rsid w:val="003B0071"/>
    <w:rsid w:val="003D166A"/>
    <w:rsid w:val="003D1CFE"/>
    <w:rsid w:val="003D2985"/>
    <w:rsid w:val="003D6422"/>
    <w:rsid w:val="003F4BA3"/>
    <w:rsid w:val="003F69FF"/>
    <w:rsid w:val="004052AD"/>
    <w:rsid w:val="00414487"/>
    <w:rsid w:val="00414BD8"/>
    <w:rsid w:val="004216FB"/>
    <w:rsid w:val="004324F3"/>
    <w:rsid w:val="004335ED"/>
    <w:rsid w:val="0044421F"/>
    <w:rsid w:val="00446BEC"/>
    <w:rsid w:val="004503F2"/>
    <w:rsid w:val="00451F91"/>
    <w:rsid w:val="00454FBF"/>
    <w:rsid w:val="0045525F"/>
    <w:rsid w:val="00457C7B"/>
    <w:rsid w:val="0046107C"/>
    <w:rsid w:val="00461BA9"/>
    <w:rsid w:val="00464740"/>
    <w:rsid w:val="00474331"/>
    <w:rsid w:val="0048285D"/>
    <w:rsid w:val="00486296"/>
    <w:rsid w:val="00490399"/>
    <w:rsid w:val="004A2397"/>
    <w:rsid w:val="004A2D30"/>
    <w:rsid w:val="004B0C9A"/>
    <w:rsid w:val="004C32AB"/>
    <w:rsid w:val="004D1CDC"/>
    <w:rsid w:val="004D7A89"/>
    <w:rsid w:val="004F08B3"/>
    <w:rsid w:val="004F29A5"/>
    <w:rsid w:val="004F3D91"/>
    <w:rsid w:val="004F5805"/>
    <w:rsid w:val="004F5815"/>
    <w:rsid w:val="004F6AF1"/>
    <w:rsid w:val="0050297C"/>
    <w:rsid w:val="00503A8A"/>
    <w:rsid w:val="00526CDD"/>
    <w:rsid w:val="0053621F"/>
    <w:rsid w:val="005377DC"/>
    <w:rsid w:val="00541CDA"/>
    <w:rsid w:val="00543EF4"/>
    <w:rsid w:val="005468AD"/>
    <w:rsid w:val="005468C7"/>
    <w:rsid w:val="005651CD"/>
    <w:rsid w:val="00566BFC"/>
    <w:rsid w:val="005676C6"/>
    <w:rsid w:val="00586816"/>
    <w:rsid w:val="00587CF8"/>
    <w:rsid w:val="00590159"/>
    <w:rsid w:val="00591814"/>
    <w:rsid w:val="0059502D"/>
    <w:rsid w:val="005A3D67"/>
    <w:rsid w:val="005B2EB5"/>
    <w:rsid w:val="005C0301"/>
    <w:rsid w:val="005C2F84"/>
    <w:rsid w:val="005C70A9"/>
    <w:rsid w:val="005D030A"/>
    <w:rsid w:val="005D1495"/>
    <w:rsid w:val="005E7DA7"/>
    <w:rsid w:val="005F43B6"/>
    <w:rsid w:val="0060147D"/>
    <w:rsid w:val="006056A5"/>
    <w:rsid w:val="00610B8B"/>
    <w:rsid w:val="00621661"/>
    <w:rsid w:val="00621BFD"/>
    <w:rsid w:val="0063137E"/>
    <w:rsid w:val="0063496F"/>
    <w:rsid w:val="006352FD"/>
    <w:rsid w:val="00636431"/>
    <w:rsid w:val="00637C84"/>
    <w:rsid w:val="00657B6A"/>
    <w:rsid w:val="00660108"/>
    <w:rsid w:val="006612F1"/>
    <w:rsid w:val="00673B10"/>
    <w:rsid w:val="00674254"/>
    <w:rsid w:val="006747BD"/>
    <w:rsid w:val="00685450"/>
    <w:rsid w:val="006918BA"/>
    <w:rsid w:val="006919DF"/>
    <w:rsid w:val="006A026D"/>
    <w:rsid w:val="006A62DF"/>
    <w:rsid w:val="006A65EC"/>
    <w:rsid w:val="006A6B2C"/>
    <w:rsid w:val="006B3E7F"/>
    <w:rsid w:val="006B7D8F"/>
    <w:rsid w:val="006B7F0E"/>
    <w:rsid w:val="006C2181"/>
    <w:rsid w:val="006C4F1D"/>
    <w:rsid w:val="006C6F7C"/>
    <w:rsid w:val="006D18FD"/>
    <w:rsid w:val="006D2082"/>
    <w:rsid w:val="006D2EFB"/>
    <w:rsid w:val="006D3F30"/>
    <w:rsid w:val="006D5EEE"/>
    <w:rsid w:val="006D6DE5"/>
    <w:rsid w:val="006E1494"/>
    <w:rsid w:val="006E278C"/>
    <w:rsid w:val="006E30FE"/>
    <w:rsid w:val="006E34DC"/>
    <w:rsid w:val="006E5990"/>
    <w:rsid w:val="006F0646"/>
    <w:rsid w:val="006F09D5"/>
    <w:rsid w:val="006F1EFB"/>
    <w:rsid w:val="006F2A04"/>
    <w:rsid w:val="006F72EF"/>
    <w:rsid w:val="0070349D"/>
    <w:rsid w:val="00703B4E"/>
    <w:rsid w:val="007042E5"/>
    <w:rsid w:val="007042EC"/>
    <w:rsid w:val="007051F8"/>
    <w:rsid w:val="00707D90"/>
    <w:rsid w:val="007234D2"/>
    <w:rsid w:val="0072379F"/>
    <w:rsid w:val="00725618"/>
    <w:rsid w:val="007259A9"/>
    <w:rsid w:val="00745BAE"/>
    <w:rsid w:val="007461FA"/>
    <w:rsid w:val="0074620A"/>
    <w:rsid w:val="00751F2F"/>
    <w:rsid w:val="007558C9"/>
    <w:rsid w:val="00762C98"/>
    <w:rsid w:val="00765992"/>
    <w:rsid w:val="00770250"/>
    <w:rsid w:val="007729B8"/>
    <w:rsid w:val="00773D6D"/>
    <w:rsid w:val="00773E8C"/>
    <w:rsid w:val="00787AAE"/>
    <w:rsid w:val="0079099D"/>
    <w:rsid w:val="007911A5"/>
    <w:rsid w:val="00792745"/>
    <w:rsid w:val="00794B24"/>
    <w:rsid w:val="007A002C"/>
    <w:rsid w:val="007A64D4"/>
    <w:rsid w:val="007A74DE"/>
    <w:rsid w:val="007B14BA"/>
    <w:rsid w:val="007B58FC"/>
    <w:rsid w:val="007B5FD7"/>
    <w:rsid w:val="007C1E99"/>
    <w:rsid w:val="007C2A05"/>
    <w:rsid w:val="007C6B7C"/>
    <w:rsid w:val="007D0B3B"/>
    <w:rsid w:val="007D58FD"/>
    <w:rsid w:val="007E1220"/>
    <w:rsid w:val="007F4043"/>
    <w:rsid w:val="007F543E"/>
    <w:rsid w:val="00805DF6"/>
    <w:rsid w:val="00806733"/>
    <w:rsid w:val="00821F16"/>
    <w:rsid w:val="008230A7"/>
    <w:rsid w:val="00825EA9"/>
    <w:rsid w:val="008301AA"/>
    <w:rsid w:val="008303EC"/>
    <w:rsid w:val="00830DBF"/>
    <w:rsid w:val="0083311B"/>
    <w:rsid w:val="00841941"/>
    <w:rsid w:val="00841A2A"/>
    <w:rsid w:val="0084396A"/>
    <w:rsid w:val="008446FE"/>
    <w:rsid w:val="00845982"/>
    <w:rsid w:val="008502C1"/>
    <w:rsid w:val="008523A3"/>
    <w:rsid w:val="00854B7B"/>
    <w:rsid w:val="0086060C"/>
    <w:rsid w:val="008650E7"/>
    <w:rsid w:val="00866834"/>
    <w:rsid w:val="00867CB5"/>
    <w:rsid w:val="008708B4"/>
    <w:rsid w:val="00873BB4"/>
    <w:rsid w:val="00873CF9"/>
    <w:rsid w:val="008768F4"/>
    <w:rsid w:val="00882C11"/>
    <w:rsid w:val="008853B0"/>
    <w:rsid w:val="008917A1"/>
    <w:rsid w:val="008922F7"/>
    <w:rsid w:val="008977E7"/>
    <w:rsid w:val="00897ACC"/>
    <w:rsid w:val="008B2062"/>
    <w:rsid w:val="008B4DBE"/>
    <w:rsid w:val="008C1729"/>
    <w:rsid w:val="008C75DD"/>
    <w:rsid w:val="008D0BC9"/>
    <w:rsid w:val="008E04B2"/>
    <w:rsid w:val="008F171B"/>
    <w:rsid w:val="008F209D"/>
    <w:rsid w:val="008F6EDF"/>
    <w:rsid w:val="009116F5"/>
    <w:rsid w:val="009154F2"/>
    <w:rsid w:val="00917F77"/>
    <w:rsid w:val="0092334C"/>
    <w:rsid w:val="0092387C"/>
    <w:rsid w:val="0093037C"/>
    <w:rsid w:val="00934B65"/>
    <w:rsid w:val="00935AF4"/>
    <w:rsid w:val="009412DD"/>
    <w:rsid w:val="00942516"/>
    <w:rsid w:val="00943829"/>
    <w:rsid w:val="00945544"/>
    <w:rsid w:val="00954066"/>
    <w:rsid w:val="00954F60"/>
    <w:rsid w:val="00956A3D"/>
    <w:rsid w:val="0096610A"/>
    <w:rsid w:val="00970D51"/>
    <w:rsid w:val="009759D9"/>
    <w:rsid w:val="009810E3"/>
    <w:rsid w:val="0098457E"/>
    <w:rsid w:val="009865F0"/>
    <w:rsid w:val="00994F27"/>
    <w:rsid w:val="00996627"/>
    <w:rsid w:val="0099676C"/>
    <w:rsid w:val="009A434B"/>
    <w:rsid w:val="009B10F5"/>
    <w:rsid w:val="009B1B83"/>
    <w:rsid w:val="009B2600"/>
    <w:rsid w:val="009C0766"/>
    <w:rsid w:val="009C47B0"/>
    <w:rsid w:val="009C56EE"/>
    <w:rsid w:val="009D1082"/>
    <w:rsid w:val="009D3E46"/>
    <w:rsid w:val="009D4C4D"/>
    <w:rsid w:val="009D5E0A"/>
    <w:rsid w:val="009D75D3"/>
    <w:rsid w:val="009E4A7E"/>
    <w:rsid w:val="009E5226"/>
    <w:rsid w:val="009F5B2B"/>
    <w:rsid w:val="00A01D92"/>
    <w:rsid w:val="00A03929"/>
    <w:rsid w:val="00A11066"/>
    <w:rsid w:val="00A147B7"/>
    <w:rsid w:val="00A22134"/>
    <w:rsid w:val="00A23E42"/>
    <w:rsid w:val="00A244C4"/>
    <w:rsid w:val="00A350A7"/>
    <w:rsid w:val="00A36F46"/>
    <w:rsid w:val="00A41265"/>
    <w:rsid w:val="00A4363C"/>
    <w:rsid w:val="00A60ABF"/>
    <w:rsid w:val="00A62CA7"/>
    <w:rsid w:val="00A72BE7"/>
    <w:rsid w:val="00A7543E"/>
    <w:rsid w:val="00A82827"/>
    <w:rsid w:val="00A85D65"/>
    <w:rsid w:val="00A87FFE"/>
    <w:rsid w:val="00A9000A"/>
    <w:rsid w:val="00A94C25"/>
    <w:rsid w:val="00AA1576"/>
    <w:rsid w:val="00AA4FB6"/>
    <w:rsid w:val="00AB44FD"/>
    <w:rsid w:val="00AC2258"/>
    <w:rsid w:val="00AD112C"/>
    <w:rsid w:val="00AD3E35"/>
    <w:rsid w:val="00AD5165"/>
    <w:rsid w:val="00AE025A"/>
    <w:rsid w:val="00AE51EA"/>
    <w:rsid w:val="00AE67A6"/>
    <w:rsid w:val="00AE7760"/>
    <w:rsid w:val="00AE7D12"/>
    <w:rsid w:val="00AF3176"/>
    <w:rsid w:val="00B05C15"/>
    <w:rsid w:val="00B23D2C"/>
    <w:rsid w:val="00B32797"/>
    <w:rsid w:val="00B32E13"/>
    <w:rsid w:val="00B35B63"/>
    <w:rsid w:val="00B37A96"/>
    <w:rsid w:val="00B40302"/>
    <w:rsid w:val="00B410E3"/>
    <w:rsid w:val="00B47F70"/>
    <w:rsid w:val="00B57186"/>
    <w:rsid w:val="00B60E67"/>
    <w:rsid w:val="00B61F8A"/>
    <w:rsid w:val="00B627CF"/>
    <w:rsid w:val="00B740DF"/>
    <w:rsid w:val="00B74C66"/>
    <w:rsid w:val="00B85767"/>
    <w:rsid w:val="00B904AB"/>
    <w:rsid w:val="00B976FD"/>
    <w:rsid w:val="00BA2264"/>
    <w:rsid w:val="00BA3249"/>
    <w:rsid w:val="00BA745A"/>
    <w:rsid w:val="00BB3391"/>
    <w:rsid w:val="00BD4CD6"/>
    <w:rsid w:val="00BD6260"/>
    <w:rsid w:val="00BE2F6A"/>
    <w:rsid w:val="00BE37F7"/>
    <w:rsid w:val="00BE7A39"/>
    <w:rsid w:val="00BF191F"/>
    <w:rsid w:val="00BF7242"/>
    <w:rsid w:val="00C05B59"/>
    <w:rsid w:val="00C06041"/>
    <w:rsid w:val="00C15FB1"/>
    <w:rsid w:val="00C22D2A"/>
    <w:rsid w:val="00C25E6E"/>
    <w:rsid w:val="00C277A7"/>
    <w:rsid w:val="00C360AD"/>
    <w:rsid w:val="00C36A17"/>
    <w:rsid w:val="00C37682"/>
    <w:rsid w:val="00C413CE"/>
    <w:rsid w:val="00C4393A"/>
    <w:rsid w:val="00C5064F"/>
    <w:rsid w:val="00C524B8"/>
    <w:rsid w:val="00C835E0"/>
    <w:rsid w:val="00C84AD2"/>
    <w:rsid w:val="00C90F2E"/>
    <w:rsid w:val="00C97D08"/>
    <w:rsid w:val="00CB3E34"/>
    <w:rsid w:val="00CB549C"/>
    <w:rsid w:val="00CC4824"/>
    <w:rsid w:val="00CD113F"/>
    <w:rsid w:val="00CD255C"/>
    <w:rsid w:val="00CD3939"/>
    <w:rsid w:val="00CE03AC"/>
    <w:rsid w:val="00CE03ED"/>
    <w:rsid w:val="00CF3E86"/>
    <w:rsid w:val="00CF51E1"/>
    <w:rsid w:val="00D005B3"/>
    <w:rsid w:val="00D05D84"/>
    <w:rsid w:val="00D0631F"/>
    <w:rsid w:val="00D06D36"/>
    <w:rsid w:val="00D10051"/>
    <w:rsid w:val="00D14011"/>
    <w:rsid w:val="00D141CD"/>
    <w:rsid w:val="00D25F0E"/>
    <w:rsid w:val="00D31E27"/>
    <w:rsid w:val="00D37160"/>
    <w:rsid w:val="00D37747"/>
    <w:rsid w:val="00D40690"/>
    <w:rsid w:val="00D42905"/>
    <w:rsid w:val="00D458A0"/>
    <w:rsid w:val="00D6054D"/>
    <w:rsid w:val="00D6359F"/>
    <w:rsid w:val="00D64000"/>
    <w:rsid w:val="00D66632"/>
    <w:rsid w:val="00D72512"/>
    <w:rsid w:val="00D728C6"/>
    <w:rsid w:val="00D72A23"/>
    <w:rsid w:val="00D85799"/>
    <w:rsid w:val="00D92A09"/>
    <w:rsid w:val="00D979C4"/>
    <w:rsid w:val="00DC2D11"/>
    <w:rsid w:val="00DC698D"/>
    <w:rsid w:val="00DD556D"/>
    <w:rsid w:val="00DD596D"/>
    <w:rsid w:val="00DD60D6"/>
    <w:rsid w:val="00DD77D2"/>
    <w:rsid w:val="00DE42E7"/>
    <w:rsid w:val="00DF61D1"/>
    <w:rsid w:val="00E0214C"/>
    <w:rsid w:val="00E07D82"/>
    <w:rsid w:val="00E122B9"/>
    <w:rsid w:val="00E12E34"/>
    <w:rsid w:val="00E14964"/>
    <w:rsid w:val="00E20CD9"/>
    <w:rsid w:val="00E23BC8"/>
    <w:rsid w:val="00E2409C"/>
    <w:rsid w:val="00E33485"/>
    <w:rsid w:val="00E339B5"/>
    <w:rsid w:val="00E4281B"/>
    <w:rsid w:val="00E47B47"/>
    <w:rsid w:val="00E53739"/>
    <w:rsid w:val="00E66EF3"/>
    <w:rsid w:val="00E81E48"/>
    <w:rsid w:val="00E86BFC"/>
    <w:rsid w:val="00E86ED1"/>
    <w:rsid w:val="00EA2B2B"/>
    <w:rsid w:val="00ED3010"/>
    <w:rsid w:val="00EE2356"/>
    <w:rsid w:val="00EE493C"/>
    <w:rsid w:val="00EE4DE1"/>
    <w:rsid w:val="00EF3CDE"/>
    <w:rsid w:val="00EF49D6"/>
    <w:rsid w:val="00F04FDC"/>
    <w:rsid w:val="00F115B8"/>
    <w:rsid w:val="00F13DDF"/>
    <w:rsid w:val="00F21E8C"/>
    <w:rsid w:val="00F23D85"/>
    <w:rsid w:val="00F26ECD"/>
    <w:rsid w:val="00F323D1"/>
    <w:rsid w:val="00F3614F"/>
    <w:rsid w:val="00F50DD9"/>
    <w:rsid w:val="00F50EB7"/>
    <w:rsid w:val="00F63136"/>
    <w:rsid w:val="00F64975"/>
    <w:rsid w:val="00F661AA"/>
    <w:rsid w:val="00F6633E"/>
    <w:rsid w:val="00F82F75"/>
    <w:rsid w:val="00F84CF6"/>
    <w:rsid w:val="00F85535"/>
    <w:rsid w:val="00F9188A"/>
    <w:rsid w:val="00FA64BF"/>
    <w:rsid w:val="00FA77B0"/>
    <w:rsid w:val="00FB0E52"/>
    <w:rsid w:val="00FB1A13"/>
    <w:rsid w:val="00FB22F0"/>
    <w:rsid w:val="00FB31CA"/>
    <w:rsid w:val="00FB59B7"/>
    <w:rsid w:val="00FB615C"/>
    <w:rsid w:val="00FC7AE7"/>
    <w:rsid w:val="00FD52BA"/>
    <w:rsid w:val="00FD6816"/>
    <w:rsid w:val="00FE6F86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432E8C26-E77A-4209-8FEF-25248A2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2A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8CFF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C2A05"/>
    <w:rPr>
      <w:rFonts w:asciiTheme="majorHAnsi" w:eastAsiaTheme="majorEastAsia" w:hAnsiTheme="majorHAnsi" w:cstheme="majorBidi"/>
      <w:b/>
      <w:bCs/>
      <w:color w:val="008CFF" w:themeColor="accent1"/>
      <w:sz w:val="26"/>
      <w:szCs w:val="26"/>
      <w:lang w:eastAsia="pl-PL"/>
    </w:rPr>
  </w:style>
  <w:style w:type="paragraph" w:customStyle="1" w:styleId="gmail-msonospacing">
    <w:name w:val="gmail-msonospacing"/>
    <w:basedOn w:val="Normalny"/>
    <w:rsid w:val="008446F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3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37C"/>
    <w:rPr>
      <w:rFonts w:ascii="Segoe UI" w:hAnsi="Segoe UI" w:cs="Segoe UI"/>
      <w:color w:val="161616"/>
      <w:sz w:val="18"/>
      <w:szCs w:val="18"/>
    </w:rPr>
  </w:style>
  <w:style w:type="character" w:customStyle="1" w:styleId="normaltextrun">
    <w:name w:val="normaltextrun"/>
    <w:basedOn w:val="Domylnaczcionkaakapitu"/>
    <w:rsid w:val="00B627CF"/>
  </w:style>
  <w:style w:type="character" w:customStyle="1" w:styleId="apple-converted-space">
    <w:name w:val="apple-converted-space"/>
    <w:basedOn w:val="Domylnaczcionkaakapitu"/>
    <w:rsid w:val="00B627CF"/>
  </w:style>
  <w:style w:type="character" w:customStyle="1" w:styleId="spellingerror">
    <w:name w:val="spellingerror"/>
    <w:basedOn w:val="Domylnaczcionkaakapitu"/>
    <w:rsid w:val="00B627CF"/>
  </w:style>
  <w:style w:type="character" w:customStyle="1" w:styleId="contextualspellingandgrammarerror">
    <w:name w:val="contextualspellingandgrammarerror"/>
    <w:basedOn w:val="Domylnaczcionkaakapitu"/>
    <w:rsid w:val="00B627CF"/>
  </w:style>
  <w:style w:type="character" w:customStyle="1" w:styleId="eop">
    <w:name w:val="eop"/>
    <w:basedOn w:val="Domylnaczcionkaakapitu"/>
    <w:rsid w:val="00B627CF"/>
  </w:style>
  <w:style w:type="character" w:styleId="Nierozpoznanawzmianka">
    <w:name w:val="Unresolved Mention"/>
    <w:basedOn w:val="Domylnaczcionkaakapitu"/>
    <w:uiPriority w:val="99"/>
    <w:semiHidden/>
    <w:unhideWhenUsed/>
    <w:rsid w:val="00FB59B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86816"/>
    <w:pPr>
      <w:spacing w:after="0" w:line="240" w:lineRule="auto"/>
    </w:pPr>
    <w:rPr>
      <w:color w:val="161616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1E0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1E0F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E0F"/>
    <w:rPr>
      <w:b/>
      <w:bCs/>
      <w:color w:val="161616"/>
      <w:sz w:val="20"/>
      <w:szCs w:val="20"/>
    </w:rPr>
  </w:style>
  <w:style w:type="character" w:customStyle="1" w:styleId="hgkelc">
    <w:name w:val="hgkelc"/>
    <w:basedOn w:val="Domylnaczcionkaakapitu"/>
    <w:rsid w:val="003302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682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682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68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D92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D92"/>
    <w:rPr>
      <w:color w:val="161616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D92"/>
    <w:rPr>
      <w:vertAlign w:val="superscript"/>
    </w:rPr>
  </w:style>
  <w:style w:type="paragraph" w:customStyle="1" w:styleId="pf0">
    <w:name w:val="pf0"/>
    <w:basedOn w:val="Normalny"/>
    <w:rsid w:val="0091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cf01">
    <w:name w:val="cf01"/>
    <w:basedOn w:val="Domylnaczcionkaakapitu"/>
    <w:rsid w:val="00917F7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917F77"/>
    <w:rPr>
      <w:rFonts w:ascii="Segoe UI" w:hAnsi="Segoe UI" w:cs="Segoe UI" w:hint="default"/>
      <w:color w:val="0563C1"/>
      <w:sz w:val="18"/>
      <w:szCs w:val="18"/>
      <w:u w:val="single"/>
    </w:rPr>
  </w:style>
  <w:style w:type="character" w:customStyle="1" w:styleId="cf31">
    <w:name w:val="cf31"/>
    <w:basedOn w:val="Domylnaczcionkaakapitu"/>
    <w:rsid w:val="00917F77"/>
    <w:rPr>
      <w:rFonts w:ascii="Segoe UI" w:hAnsi="Segoe UI" w:cs="Segoe UI" w:hint="default"/>
      <w:color w:val="161616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7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4471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961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936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75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dia.bik.pl/analizy-rynkowe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bikhub.p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zecznik@sgh.waw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k.pl/klienci-indywidualni/alerty-bik?utm_source=gazeta.pl&amp;utm_medium=artykul&amp;utm_campaign=alerty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eksandra.stankiewicz-billewicz@bik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k.pl/moj-bik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bik.pl" TargetMode="External"/><Relationship Id="rId14" Type="http://schemas.openxmlformats.org/officeDocument/2006/relationships/hyperlink" Target="http://www.sgh.waw.p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iles.consumerfinance.gov/f/documents/cfpb_buy-now-pay-later-market-trends-consumer-impacts_report_2022-09.pdf" TargetMode="External"/><Relationship Id="rId1" Type="http://schemas.openxmlformats.org/officeDocument/2006/relationships/hyperlink" Target="https://thepaypers.com/expert-opinion/buy-now-pay-later-series-ii-regulations-and-risks--1249259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09E20-801C-4B95-9EDE-E961B9370B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5080041-40FB-437F-8D41-3427F3A1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2</cp:revision>
  <cp:lastPrinted>2023-02-08T14:07:00Z</cp:lastPrinted>
  <dcterms:created xsi:type="dcterms:W3CDTF">2023-02-21T07:41:00Z</dcterms:created>
  <dcterms:modified xsi:type="dcterms:W3CDTF">2023-02-21T12:37:00Z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74c57d73-a0e4-40e4-875a-24f72064e8ff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2023-02-20T13:41:24Z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81d18e8c-1d24-498f-8fdb-843ed0609a1b</vt:lpwstr>
  </property>
  <property fmtid="{D5CDD505-2E9C-101B-9397-08002B2CF9AE}" pid="13" name="MSIP_Label_1391a466-f120-4668-a5e5-7af4d8a99d82_ContentBits">
    <vt:lpwstr>2</vt:lpwstr>
  </property>
</Properties>
</file>