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2">
      <w:pPr>
        <w:jc w:val="righ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2.03.2023, Warszawa</w:t>
      </w:r>
    </w:p>
    <w:p w:rsidR="00000000" w:rsidDel="00000000" w:rsidP="00000000" w:rsidRDefault="00000000" w:rsidRPr="00000000" w14:paraId="00000003">
      <w:pPr>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4">
      <w:pPr>
        <w:jc w:val="both"/>
        <w:rPr>
          <w:rFonts w:ascii="Red Hat Display" w:cs="Red Hat Display" w:eastAsia="Red Hat Display" w:hAnsi="Red Hat Display"/>
          <w:sz w:val="24"/>
          <w:szCs w:val="24"/>
        </w:rPr>
      </w:pPr>
      <w:r w:rsidDel="00000000" w:rsidR="00000000" w:rsidRPr="00000000">
        <w:rPr>
          <w:rtl w:val="0"/>
        </w:rPr>
      </w:r>
    </w:p>
    <w:p w:rsidR="00000000" w:rsidDel="00000000" w:rsidP="00000000" w:rsidRDefault="00000000" w:rsidRPr="00000000" w14:paraId="00000005">
      <w:pPr>
        <w:jc w:val="both"/>
        <w:rPr>
          <w:rFonts w:ascii="Red Hat Display" w:cs="Red Hat Display" w:eastAsia="Red Hat Display" w:hAnsi="Red Hat Display"/>
          <w:sz w:val="24"/>
          <w:szCs w:val="24"/>
        </w:rPr>
      </w:pPr>
      <w:r w:rsidDel="00000000" w:rsidR="00000000" w:rsidRPr="00000000">
        <w:rPr>
          <w:rtl w:val="0"/>
        </w:rPr>
      </w:r>
    </w:p>
    <w:p w:rsidR="00000000" w:rsidDel="00000000" w:rsidP="00000000" w:rsidRDefault="00000000" w:rsidRPr="00000000" w14:paraId="00000006">
      <w:pPr>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[INFORMACJA PRASOWA]</w:t>
      </w:r>
    </w:p>
    <w:p w:rsidR="00000000" w:rsidDel="00000000" w:rsidP="00000000" w:rsidRDefault="00000000" w:rsidRPr="00000000" w14:paraId="00000007">
      <w:pPr>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8">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9">
      <w:pPr>
        <w:spacing w:line="276" w:lineRule="auto"/>
        <w:jc w:val="both"/>
        <w:rPr>
          <w:rFonts w:ascii="Red Hat Display" w:cs="Red Hat Display" w:eastAsia="Red Hat Display" w:hAnsi="Red Hat Display"/>
          <w:b w:val="1"/>
          <w:sz w:val="38"/>
          <w:szCs w:val="38"/>
        </w:rPr>
      </w:pPr>
      <w:r w:rsidDel="00000000" w:rsidR="00000000" w:rsidRPr="00000000">
        <w:rPr>
          <w:rFonts w:ascii="Red Hat Display" w:cs="Red Hat Display" w:eastAsia="Red Hat Display" w:hAnsi="Red Hat Display"/>
          <w:b w:val="1"/>
          <w:sz w:val="38"/>
          <w:szCs w:val="38"/>
          <w:rtl w:val="0"/>
        </w:rPr>
        <w:t xml:space="preserve">Gdzie jest najtańsze OC w Polsce? Ranking Punkty</w:t>
      </w:r>
    </w:p>
    <w:p w:rsidR="00000000" w:rsidDel="00000000" w:rsidP="00000000" w:rsidRDefault="00000000" w:rsidRPr="00000000" w14:paraId="0000000A">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B">
      <w:pPr>
        <w:spacing w:line="276" w:lineRule="auto"/>
        <w:jc w:val="both"/>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Według danych multiagencji Punkta z lutego 2023, przeciętna miesięczna wartość opłaconego OC w Polsce wyniosła 537 zł. Jest to nieznaczny spadek w porównaniu do poprzedniego miesiąca (taniej o niespełna 3%). </w:t>
      </w:r>
    </w:p>
    <w:p w:rsidR="00000000" w:rsidDel="00000000" w:rsidP="00000000" w:rsidRDefault="00000000" w:rsidRPr="00000000" w14:paraId="0000000C">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D">
      <w:pPr>
        <w:spacing w:line="276" w:lineRule="auto"/>
        <w:jc w:val="both"/>
        <w:rPr>
          <w:rFonts w:ascii="Red Hat Display" w:cs="Red Hat Display" w:eastAsia="Red Hat Display" w:hAnsi="Red Hat Display"/>
          <w:b w:val="1"/>
        </w:rPr>
      </w:pPr>
      <w:r w:rsidDel="00000000" w:rsidR="00000000" w:rsidRPr="00000000">
        <w:rPr>
          <w:rFonts w:ascii="Red Hat Display" w:cs="Red Hat Display" w:eastAsia="Red Hat Display" w:hAnsi="Red Hat Display"/>
          <w:rtl w:val="0"/>
        </w:rPr>
        <w:t xml:space="preserve">W lutym </w:t>
      </w:r>
      <w:r w:rsidDel="00000000" w:rsidR="00000000" w:rsidRPr="00000000">
        <w:rPr>
          <w:rFonts w:ascii="Red Hat Display" w:cs="Red Hat Display" w:eastAsia="Red Hat Display" w:hAnsi="Red Hat Display"/>
          <w:b w:val="1"/>
          <w:rtl w:val="0"/>
        </w:rPr>
        <w:t xml:space="preserve">różnica w średniej cenie </w:t>
      </w:r>
      <w:r w:rsidDel="00000000" w:rsidR="00000000" w:rsidRPr="00000000">
        <w:rPr>
          <w:rFonts w:ascii="Red Hat Display" w:cs="Red Hat Display" w:eastAsia="Red Hat Display" w:hAnsi="Red Hat Display"/>
          <w:rtl w:val="0"/>
        </w:rPr>
        <w:t xml:space="preserve">OC między najtańszym miastem - Kutnem - a najdroższym - Sopotem - wyniosła aż </w:t>
      </w:r>
      <w:r w:rsidDel="00000000" w:rsidR="00000000" w:rsidRPr="00000000">
        <w:rPr>
          <w:rFonts w:ascii="Red Hat Display" w:cs="Red Hat Display" w:eastAsia="Red Hat Display" w:hAnsi="Red Hat Display"/>
          <w:b w:val="1"/>
          <w:rtl w:val="0"/>
        </w:rPr>
        <w:t xml:space="preserve">ponad 370 zł! </w:t>
      </w:r>
    </w:p>
    <w:p w:rsidR="00000000" w:rsidDel="00000000" w:rsidP="00000000" w:rsidRDefault="00000000" w:rsidRPr="00000000" w14:paraId="0000000E">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0F">
      <w:pPr>
        <w:spacing w:line="276"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Oprócz wspomnianego </w:t>
      </w:r>
      <w:r w:rsidDel="00000000" w:rsidR="00000000" w:rsidRPr="00000000">
        <w:rPr>
          <w:rFonts w:ascii="Red Hat Display" w:cs="Red Hat Display" w:eastAsia="Red Hat Display" w:hAnsi="Red Hat Display"/>
          <w:b w:val="1"/>
          <w:rtl w:val="0"/>
        </w:rPr>
        <w:t xml:space="preserve">Kutna</w:t>
      </w:r>
      <w:r w:rsidDel="00000000" w:rsidR="00000000" w:rsidRPr="00000000">
        <w:rPr>
          <w:rFonts w:ascii="Red Hat Display" w:cs="Red Hat Display" w:eastAsia="Red Hat Display" w:hAnsi="Red Hat Display"/>
          <w:rtl w:val="0"/>
        </w:rPr>
        <w:t xml:space="preserve">, w którym kierowcy średnio płacili za OC jedynie 369 zł lista najtańszych 20 miast w Polsce objęła miejscowości takie jak </w:t>
      </w:r>
      <w:r w:rsidDel="00000000" w:rsidR="00000000" w:rsidRPr="00000000">
        <w:rPr>
          <w:rFonts w:ascii="Red Hat Display" w:cs="Red Hat Display" w:eastAsia="Red Hat Display" w:hAnsi="Red Hat Display"/>
          <w:b w:val="1"/>
          <w:rtl w:val="0"/>
        </w:rPr>
        <w:t xml:space="preserve">Stalowa Wola, Zamość, Piekary Śląskie, Chełm </w:t>
      </w:r>
      <w:r w:rsidDel="00000000" w:rsidR="00000000" w:rsidRPr="00000000">
        <w:rPr>
          <w:rFonts w:ascii="Red Hat Display" w:cs="Red Hat Display" w:eastAsia="Red Hat Display" w:hAnsi="Red Hat Display"/>
          <w:rtl w:val="0"/>
        </w:rPr>
        <w:t xml:space="preserve">czy</w:t>
      </w:r>
      <w:r w:rsidDel="00000000" w:rsidR="00000000" w:rsidRPr="00000000">
        <w:rPr>
          <w:rFonts w:ascii="Red Hat Display" w:cs="Red Hat Display" w:eastAsia="Red Hat Display" w:hAnsi="Red Hat Display"/>
          <w:b w:val="1"/>
          <w:rtl w:val="0"/>
        </w:rPr>
        <w:t xml:space="preserve"> Suwałki</w:t>
      </w:r>
      <w:r w:rsidDel="00000000" w:rsidR="00000000" w:rsidRPr="00000000">
        <w:rPr>
          <w:rFonts w:ascii="Red Hat Display" w:cs="Red Hat Display" w:eastAsia="Red Hat Display" w:hAnsi="Red Hat Display"/>
          <w:rtl w:val="0"/>
        </w:rPr>
        <w:t xml:space="preserve">, gdzie średnia cena OC wynosi poniżej 460 zł. Natomiast najdroższe miasta w kraju to m.in. </w:t>
      </w:r>
      <w:r w:rsidDel="00000000" w:rsidR="00000000" w:rsidRPr="00000000">
        <w:rPr>
          <w:rFonts w:ascii="Red Hat Display" w:cs="Red Hat Display" w:eastAsia="Red Hat Display" w:hAnsi="Red Hat Display"/>
          <w:b w:val="1"/>
          <w:rtl w:val="0"/>
        </w:rPr>
        <w:t xml:space="preserve">Sopot</w:t>
      </w:r>
      <w:r w:rsidDel="00000000" w:rsidR="00000000" w:rsidRPr="00000000">
        <w:rPr>
          <w:rFonts w:ascii="Red Hat Display" w:cs="Red Hat Display" w:eastAsia="Red Hat Display" w:hAnsi="Red Hat Display"/>
          <w:rtl w:val="0"/>
        </w:rPr>
        <w:t xml:space="preserve"> (740 zł), </w:t>
      </w:r>
      <w:r w:rsidDel="00000000" w:rsidR="00000000" w:rsidRPr="00000000">
        <w:rPr>
          <w:rFonts w:ascii="Red Hat Display" w:cs="Red Hat Display" w:eastAsia="Red Hat Display" w:hAnsi="Red Hat Display"/>
          <w:b w:val="1"/>
          <w:rtl w:val="0"/>
        </w:rPr>
        <w:t xml:space="preserve">Gdańsk</w:t>
      </w:r>
      <w:r w:rsidDel="00000000" w:rsidR="00000000" w:rsidRPr="00000000">
        <w:rPr>
          <w:rFonts w:ascii="Red Hat Display" w:cs="Red Hat Display" w:eastAsia="Red Hat Display" w:hAnsi="Red Hat Display"/>
          <w:rtl w:val="0"/>
        </w:rPr>
        <w:t xml:space="preserve"> (733 zł), </w:t>
      </w:r>
      <w:r w:rsidDel="00000000" w:rsidR="00000000" w:rsidRPr="00000000">
        <w:rPr>
          <w:rFonts w:ascii="Red Hat Display" w:cs="Red Hat Display" w:eastAsia="Red Hat Display" w:hAnsi="Red Hat Display"/>
          <w:b w:val="1"/>
          <w:rtl w:val="0"/>
        </w:rPr>
        <w:t xml:space="preserve">Konstancin-Jeziorna</w:t>
      </w:r>
      <w:r w:rsidDel="00000000" w:rsidR="00000000" w:rsidRPr="00000000">
        <w:rPr>
          <w:rFonts w:ascii="Red Hat Display" w:cs="Red Hat Display" w:eastAsia="Red Hat Display" w:hAnsi="Red Hat Display"/>
          <w:rtl w:val="0"/>
        </w:rPr>
        <w:t xml:space="preserve"> (701 zł) czy </w:t>
      </w:r>
      <w:r w:rsidDel="00000000" w:rsidR="00000000" w:rsidRPr="00000000">
        <w:rPr>
          <w:rFonts w:ascii="Red Hat Display" w:cs="Red Hat Display" w:eastAsia="Red Hat Display" w:hAnsi="Red Hat Display"/>
          <w:b w:val="1"/>
          <w:rtl w:val="0"/>
        </w:rPr>
        <w:t xml:space="preserve">Poznań</w:t>
      </w:r>
      <w:r w:rsidDel="00000000" w:rsidR="00000000" w:rsidRPr="00000000">
        <w:rPr>
          <w:rFonts w:ascii="Red Hat Display" w:cs="Red Hat Display" w:eastAsia="Red Hat Display" w:hAnsi="Red Hat Display"/>
          <w:rtl w:val="0"/>
        </w:rPr>
        <w:t xml:space="preserve"> (666 zł), gdzie średnia cena OC wynosi powyżej 650 zł.</w:t>
      </w:r>
    </w:p>
    <w:p w:rsidR="00000000" w:rsidDel="00000000" w:rsidP="00000000" w:rsidRDefault="00000000" w:rsidRPr="00000000" w14:paraId="00000010">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11">
      <w:pPr>
        <w:spacing w:line="276"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Na średnią cena OC w lutym 2023 miało oczywiście wpływ wiele czynników. Jeśli chodzi typ napędu właściciele hybryd płacą za obowiązkowe ubezpieczenie najwięcej (średnio 627 zł). Najmniej zaś ci, którzy posiadają pojazdy elektryczne (śr. 384 zł). Właściciele najpopularniejszych na polskich drogach silników benzynowych (524 zł) i diesla (548 zł) mieszczą się w środku spektrum cen.</w:t>
      </w:r>
    </w:p>
    <w:p w:rsidR="00000000" w:rsidDel="00000000" w:rsidP="00000000" w:rsidRDefault="00000000" w:rsidRPr="00000000" w14:paraId="00000012">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13">
      <w:pPr>
        <w:spacing w:line="276"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Jeśli chodzi o płcie właścicieli pojazdów, to również nie odnotowano znaczących zmian - </w:t>
      </w:r>
      <w:r w:rsidDel="00000000" w:rsidR="00000000" w:rsidRPr="00000000">
        <w:rPr>
          <w:rFonts w:ascii="Red Hat Display" w:cs="Red Hat Display" w:eastAsia="Red Hat Display" w:hAnsi="Red Hat Display"/>
          <w:b w:val="1"/>
          <w:rtl w:val="0"/>
        </w:rPr>
        <w:t xml:space="preserve">kobiety nadal płacą średnio kilka procent więcej za OC niż mężczyźni - (554 zł vs. 531 zł)</w:t>
      </w:r>
      <w:r w:rsidDel="00000000" w:rsidR="00000000" w:rsidRPr="00000000">
        <w:rPr>
          <w:rFonts w:ascii="Red Hat Display" w:cs="Red Hat Display" w:eastAsia="Red Hat Display" w:hAnsi="Red Hat Display"/>
          <w:rtl w:val="0"/>
        </w:rPr>
        <w:t xml:space="preserve">. W zależności od wieku, </w:t>
      </w:r>
      <w:r w:rsidDel="00000000" w:rsidR="00000000" w:rsidRPr="00000000">
        <w:rPr>
          <w:rFonts w:ascii="Red Hat Display" w:cs="Red Hat Display" w:eastAsia="Red Hat Display" w:hAnsi="Red Hat Display"/>
          <w:b w:val="1"/>
          <w:rtl w:val="0"/>
        </w:rPr>
        <w:t xml:space="preserve">najwyższe ceny OC uiszczali młodzi kierowcy w wieku 0-25 lat (1093 zł)</w:t>
      </w:r>
      <w:r w:rsidDel="00000000" w:rsidR="00000000" w:rsidRPr="00000000">
        <w:rPr>
          <w:rFonts w:ascii="Red Hat Display" w:cs="Red Hat Display" w:eastAsia="Red Hat Display" w:hAnsi="Red Hat Display"/>
          <w:rtl w:val="0"/>
        </w:rPr>
        <w:t xml:space="preserve">, natomiast najniższe - osoby w wieku 36-45 lat (502 zł).</w:t>
      </w:r>
    </w:p>
    <w:p w:rsidR="00000000" w:rsidDel="00000000" w:rsidP="00000000" w:rsidRDefault="00000000" w:rsidRPr="00000000" w14:paraId="00000014">
      <w:pPr>
        <w:spacing w:line="276" w:lineRule="auto"/>
        <w:jc w:val="both"/>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15">
      <w:pPr>
        <w:spacing w:line="276" w:lineRule="auto"/>
        <w:jc w:val="both"/>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Średnie ceny OC za luty 2023 w poszczególnych województwach w Polsce różnią się istotnie. </w:t>
      </w:r>
      <w:r w:rsidDel="00000000" w:rsidR="00000000" w:rsidRPr="00000000">
        <w:rPr>
          <w:rFonts w:ascii="Red Hat Display" w:cs="Red Hat Display" w:eastAsia="Red Hat Display" w:hAnsi="Red Hat Display"/>
          <w:b w:val="1"/>
          <w:rtl w:val="0"/>
        </w:rPr>
        <w:t xml:space="preserve">Najtańsze OC można uzyskać tradycyjnie w podkarpackiem (455 zł) i opolskiem (467 zł). </w:t>
      </w:r>
      <w:r w:rsidDel="00000000" w:rsidR="00000000" w:rsidRPr="00000000">
        <w:rPr>
          <w:rFonts w:ascii="Red Hat Display" w:cs="Red Hat Display" w:eastAsia="Red Hat Display" w:hAnsi="Red Hat Display"/>
          <w:rtl w:val="0"/>
        </w:rPr>
        <w:t xml:space="preserve">Najdroższe zaś w pomorskiem (603 zł) i mazowieckiem (579 zł). W miastach wojewódzkich, najniższą średnią cenę OC notuje Lublin (468 zł), natomiast najwyższą - Gdańsk (733 zł).</w:t>
      </w:r>
    </w:p>
    <w:p w:rsidR="00000000" w:rsidDel="00000000" w:rsidP="00000000" w:rsidRDefault="00000000" w:rsidRPr="00000000" w14:paraId="00000016">
      <w:pPr>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17">
      <w:pPr>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18">
      <w:pPr>
        <w:spacing w:line="276" w:lineRule="auto"/>
        <w:ind w:left="1080" w:hanging="360"/>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Lista najtańszych 20 miast w Polsce w lutym 2023 - średnia cena OC: ​​</w:t>
      </w:r>
    </w:p>
    <w:p w:rsidR="00000000" w:rsidDel="00000000" w:rsidP="00000000" w:rsidRDefault="00000000" w:rsidRPr="00000000" w14:paraId="00000019">
      <w:pPr>
        <w:spacing w:line="276" w:lineRule="auto"/>
        <w:ind w:left="720" w:firstLine="0"/>
        <w:rPr>
          <w:rFonts w:ascii="Red Hat Display" w:cs="Red Hat Display" w:eastAsia="Red Hat Display" w:hAnsi="Red Hat Display"/>
        </w:rPr>
      </w:pPr>
      <w:r w:rsidDel="00000000" w:rsidR="00000000" w:rsidRPr="00000000">
        <w:rPr>
          <w:rtl w:val="0"/>
        </w:rPr>
      </w:r>
    </w:p>
    <w:tbl>
      <w:tblPr>
        <w:tblStyle w:val="Table1"/>
        <w:tblW w:w="44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5"/>
        <w:gridCol w:w="690"/>
        <w:tblGridChange w:id="0">
          <w:tblGrid>
            <w:gridCol w:w="3765"/>
            <w:gridCol w:w="690"/>
          </w:tblGrid>
        </w:tblGridChange>
      </w:tblGrid>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A">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Kutno</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B">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369</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C">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Stalowa Wola</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D">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374</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E">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Zamość</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1F">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381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0">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Piekary Śląskie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1">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387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2">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Chełm</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3">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392</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4">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Kędzierzyn-Koźle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5">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393</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6">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Zawiercie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7">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399</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8">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Suwałki</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9">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401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A">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Chrzanów</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B">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402</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C">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Czechowice-Dziedzice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D">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407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E">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Przemyśl</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2F">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417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0">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Mikołów</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1">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419</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2">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Zgorzelec</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3">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429</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4">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Świnoujście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5">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433</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6">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Ełk</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7">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437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8">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Nysa</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9">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439</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A">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Piła</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B">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441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C">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Skarżysko-Kamienna</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D">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443</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E">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Śrem</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3F">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444</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40">
            <w:pPr>
              <w:widowControl w:val="0"/>
              <w:numPr>
                <w:ilvl w:val="0"/>
                <w:numId w:val="2"/>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Mysłowice</w:t>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41">
            <w:pPr>
              <w:widowControl w:val="0"/>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452</w:t>
            </w:r>
          </w:p>
        </w:tc>
      </w:tr>
    </w:tbl>
    <w:p w:rsidR="00000000" w:rsidDel="00000000" w:rsidP="00000000" w:rsidRDefault="00000000" w:rsidRPr="00000000" w14:paraId="00000042">
      <w:pPr>
        <w:spacing w:line="276" w:lineRule="auto"/>
        <w:ind w:left="0" w:firstLine="0"/>
        <w:rPr>
          <w:rFonts w:ascii="Red Hat Display" w:cs="Red Hat Display" w:eastAsia="Red Hat Display" w:hAnsi="Red Hat Display"/>
          <w:color w:val="374151"/>
        </w:rPr>
      </w:pPr>
      <w:r w:rsidDel="00000000" w:rsidR="00000000" w:rsidRPr="00000000">
        <w:rPr>
          <w:rtl w:val="0"/>
        </w:rPr>
      </w:r>
    </w:p>
    <w:p w:rsidR="00000000" w:rsidDel="00000000" w:rsidP="00000000" w:rsidRDefault="00000000" w:rsidRPr="00000000" w14:paraId="00000043">
      <w:pPr>
        <w:spacing w:line="276" w:lineRule="auto"/>
        <w:ind w:left="72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44">
      <w:pPr>
        <w:spacing w:line="276" w:lineRule="auto"/>
        <w:ind w:left="72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45">
      <w:pPr>
        <w:spacing w:line="276" w:lineRule="auto"/>
        <w:ind w:left="72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46">
      <w:pPr>
        <w:spacing w:line="276" w:lineRule="auto"/>
        <w:ind w:left="720" w:firstLine="0"/>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47">
      <w:pPr>
        <w:spacing w:line="276" w:lineRule="auto"/>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Lista średnich cen OC za luty 2023 w województwach - od najtańszego do najdroższego</w:t>
      </w:r>
    </w:p>
    <w:p w:rsidR="00000000" w:rsidDel="00000000" w:rsidP="00000000" w:rsidRDefault="00000000" w:rsidRPr="00000000" w14:paraId="00000048">
      <w:pPr>
        <w:spacing w:line="276" w:lineRule="auto"/>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 </w:t>
      </w:r>
    </w:p>
    <w:p w:rsidR="00000000" w:rsidDel="00000000" w:rsidP="00000000" w:rsidRDefault="00000000" w:rsidRPr="00000000" w14:paraId="00000049">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podkarpackie 455</w:t>
      </w:r>
    </w:p>
    <w:p w:rsidR="00000000" w:rsidDel="00000000" w:rsidP="00000000" w:rsidRDefault="00000000" w:rsidRPr="00000000" w14:paraId="0000004A">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opolskie 467</w:t>
      </w:r>
    </w:p>
    <w:p w:rsidR="00000000" w:rsidDel="00000000" w:rsidP="00000000" w:rsidRDefault="00000000" w:rsidRPr="00000000" w14:paraId="0000004B">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świętokrzyskie 478</w:t>
      </w:r>
    </w:p>
    <w:p w:rsidR="00000000" w:rsidDel="00000000" w:rsidP="00000000" w:rsidRDefault="00000000" w:rsidRPr="00000000" w14:paraId="0000004C">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lubelskie 484</w:t>
      </w:r>
    </w:p>
    <w:p w:rsidR="00000000" w:rsidDel="00000000" w:rsidP="00000000" w:rsidRDefault="00000000" w:rsidRPr="00000000" w14:paraId="0000004D">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podlaskie 507</w:t>
      </w:r>
    </w:p>
    <w:p w:rsidR="00000000" w:rsidDel="00000000" w:rsidP="00000000" w:rsidRDefault="00000000" w:rsidRPr="00000000" w14:paraId="0000004E">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śląskie 508</w:t>
      </w:r>
    </w:p>
    <w:p w:rsidR="00000000" w:rsidDel="00000000" w:rsidP="00000000" w:rsidRDefault="00000000" w:rsidRPr="00000000" w14:paraId="0000004F">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małopolskie 514</w:t>
      </w:r>
    </w:p>
    <w:p w:rsidR="00000000" w:rsidDel="00000000" w:rsidP="00000000" w:rsidRDefault="00000000" w:rsidRPr="00000000" w14:paraId="00000050">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warmińsko-mazurskie 532</w:t>
      </w:r>
    </w:p>
    <w:p w:rsidR="00000000" w:rsidDel="00000000" w:rsidP="00000000" w:rsidRDefault="00000000" w:rsidRPr="00000000" w14:paraId="00000051">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łódzkie 532</w:t>
      </w:r>
    </w:p>
    <w:p w:rsidR="00000000" w:rsidDel="00000000" w:rsidP="00000000" w:rsidRDefault="00000000" w:rsidRPr="00000000" w14:paraId="00000052">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lubuskie 536</w:t>
      </w:r>
    </w:p>
    <w:p w:rsidR="00000000" w:rsidDel="00000000" w:rsidP="00000000" w:rsidRDefault="00000000" w:rsidRPr="00000000" w14:paraId="00000053">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kujawsko-pomorskie 543</w:t>
      </w:r>
    </w:p>
    <w:p w:rsidR="00000000" w:rsidDel="00000000" w:rsidP="00000000" w:rsidRDefault="00000000" w:rsidRPr="00000000" w14:paraId="00000054">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dolnośląskie 548</w:t>
      </w:r>
    </w:p>
    <w:p w:rsidR="00000000" w:rsidDel="00000000" w:rsidP="00000000" w:rsidRDefault="00000000" w:rsidRPr="00000000" w14:paraId="00000055">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zachodniopomorskie 556</w:t>
      </w:r>
    </w:p>
    <w:p w:rsidR="00000000" w:rsidDel="00000000" w:rsidP="00000000" w:rsidRDefault="00000000" w:rsidRPr="00000000" w14:paraId="00000056">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wielkopolskie 556</w:t>
      </w:r>
    </w:p>
    <w:p w:rsidR="00000000" w:rsidDel="00000000" w:rsidP="00000000" w:rsidRDefault="00000000" w:rsidRPr="00000000" w14:paraId="00000057">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mazowieckie 579</w:t>
      </w:r>
    </w:p>
    <w:p w:rsidR="00000000" w:rsidDel="00000000" w:rsidP="00000000" w:rsidRDefault="00000000" w:rsidRPr="00000000" w14:paraId="00000058">
      <w:pPr>
        <w:numPr>
          <w:ilvl w:val="0"/>
          <w:numId w:val="1"/>
        </w:numPr>
        <w:spacing w:line="276" w:lineRule="auto"/>
        <w:ind w:left="720" w:hanging="360"/>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pomorskie 603</w:t>
      </w:r>
    </w:p>
    <w:p w:rsidR="00000000" w:rsidDel="00000000" w:rsidP="00000000" w:rsidRDefault="00000000" w:rsidRPr="00000000" w14:paraId="00000059">
      <w:pPr>
        <w:spacing w:line="276" w:lineRule="auto"/>
        <w:jc w:val="both"/>
        <w:rPr>
          <w:rFonts w:ascii="Red Hat Display" w:cs="Red Hat Display" w:eastAsia="Red Hat Display" w:hAnsi="Red Hat Display"/>
          <w:color w:val="313131"/>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ed Hat Display" w:cs="Red Hat Display" w:eastAsia="Red Hat Display" w:hAnsi="Red Hat Display"/>
          <w:b w:val="1"/>
        </w:rPr>
      </w:pPr>
      <w:r w:rsidDel="00000000" w:rsidR="00000000" w:rsidRPr="00000000">
        <w:rPr>
          <w:rFonts w:ascii="Red Hat Display" w:cs="Red Hat Display" w:eastAsia="Red Hat Display" w:hAnsi="Red Hat Display"/>
          <w:b w:val="1"/>
          <w:rtl w:val="0"/>
        </w:rPr>
        <w:t xml:space="preserve">Średnie ceny OC za luty 2023 pod względem typu napędu</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Benzyna 524</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Benzyna/Gaz (fabryczny) 459</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Benzyna/Gaz (niefabryczny) 541</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Elektryczny 384</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Hybryda (benzyna/elektryczny) 627</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ed Hat Display" w:cs="Red Hat Display" w:eastAsia="Red Hat Display" w:hAnsi="Red Hat Display"/>
        </w:rPr>
      </w:pPr>
      <w:r w:rsidDel="00000000" w:rsidR="00000000" w:rsidRPr="00000000">
        <w:rPr>
          <w:rFonts w:ascii="Red Hat Display" w:cs="Red Hat Display" w:eastAsia="Red Hat Display" w:hAnsi="Red Hat Display"/>
          <w:rtl w:val="0"/>
        </w:rPr>
        <w:t xml:space="preserve">Olej napędowy 548</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ed Hat Display" w:cs="Red Hat Display" w:eastAsia="Red Hat Display" w:hAnsi="Red Hat Display"/>
        </w:rPr>
      </w:pPr>
      <w:r w:rsidDel="00000000" w:rsidR="00000000" w:rsidRPr="00000000">
        <w:rPr>
          <w:rtl w:val="0"/>
        </w:rPr>
      </w:r>
    </w:p>
    <w:p w:rsidR="00000000" w:rsidDel="00000000" w:rsidP="00000000" w:rsidRDefault="00000000" w:rsidRPr="00000000" w14:paraId="00000064">
      <w:pPr>
        <w:jc w:val="both"/>
        <w:rPr>
          <w:rFonts w:ascii="Red Hat Display" w:cs="Red Hat Display" w:eastAsia="Red Hat Display" w:hAnsi="Red Hat Display"/>
          <w:i w:val="1"/>
        </w:rPr>
      </w:pPr>
      <w:r w:rsidDel="00000000" w:rsidR="00000000" w:rsidRPr="00000000">
        <w:rPr>
          <w:rtl w:val="0"/>
        </w:rPr>
      </w:r>
    </w:p>
    <w:p w:rsidR="00000000" w:rsidDel="00000000" w:rsidP="00000000" w:rsidRDefault="00000000" w:rsidRPr="00000000" w14:paraId="00000065">
      <w:pPr>
        <w:jc w:val="both"/>
        <w:rPr>
          <w:rFonts w:ascii="Red Hat Display" w:cs="Red Hat Display" w:eastAsia="Red Hat Display" w:hAnsi="Red Hat Display"/>
          <w:i w:val="1"/>
        </w:rPr>
      </w:pPr>
      <w:r w:rsidDel="00000000" w:rsidR="00000000" w:rsidRPr="00000000">
        <w:rPr>
          <w:rtl w:val="0"/>
        </w:rPr>
      </w:r>
    </w:p>
    <w:p w:rsidR="00000000" w:rsidDel="00000000" w:rsidP="00000000" w:rsidRDefault="00000000" w:rsidRPr="00000000" w14:paraId="00000066">
      <w:pPr>
        <w:jc w:val="both"/>
        <w:rPr>
          <w:rFonts w:ascii="Red Hat Display" w:cs="Red Hat Display" w:eastAsia="Red Hat Display" w:hAnsi="Red Hat Display"/>
          <w:i w:val="1"/>
        </w:rPr>
      </w:pPr>
      <w:r w:rsidDel="00000000" w:rsidR="00000000" w:rsidRPr="00000000">
        <w:rPr>
          <w:rtl w:val="0"/>
        </w:rPr>
      </w:r>
    </w:p>
    <w:p w:rsidR="00000000" w:rsidDel="00000000" w:rsidP="00000000" w:rsidRDefault="00000000" w:rsidRPr="00000000" w14:paraId="00000067">
      <w:pPr>
        <w:jc w:val="both"/>
        <w:rPr>
          <w:rFonts w:ascii="Red Hat Display" w:cs="Red Hat Display" w:eastAsia="Red Hat Display" w:hAnsi="Red Hat Display"/>
          <w:b w:val="1"/>
          <w:i w:val="1"/>
        </w:rPr>
      </w:pPr>
      <w:r w:rsidDel="00000000" w:rsidR="00000000" w:rsidRPr="00000000">
        <w:rPr>
          <w:rFonts w:ascii="Red Hat Display" w:cs="Red Hat Display" w:eastAsia="Red Hat Display" w:hAnsi="Red Hat Display"/>
          <w:b w:val="1"/>
          <w:i w:val="1"/>
          <w:rtl w:val="0"/>
        </w:rPr>
        <w:t xml:space="preserve">O autorach informacji:</w:t>
      </w:r>
    </w:p>
    <w:p w:rsidR="00000000" w:rsidDel="00000000" w:rsidP="00000000" w:rsidRDefault="00000000" w:rsidRPr="00000000" w14:paraId="00000068">
      <w:pPr>
        <w:jc w:val="both"/>
        <w:rPr>
          <w:rFonts w:ascii="Red Hat Display" w:cs="Red Hat Display" w:eastAsia="Red Hat Display" w:hAnsi="Red Hat Display"/>
          <w:i w:val="1"/>
        </w:rPr>
      </w:pPr>
      <w:r w:rsidDel="00000000" w:rsidR="00000000" w:rsidRPr="00000000">
        <w:rPr>
          <w:rFonts w:ascii="Red Hat Display" w:cs="Red Hat Display" w:eastAsia="Red Hat Display" w:hAnsi="Red Hat Display"/>
          <w:i w:val="1"/>
          <w:color w:val="323643"/>
          <w:shd w:fill="fefefe" w:val="clear"/>
          <w:rtl w:val="0"/>
        </w:rPr>
        <w:t xml:space="preserve">Punkta to multiagencja ubezpieczeń, wchodząca w skład grupy, której głównym inwestorem jest brytyjski fundusz Pollen Street Capital. Od roku 2021 do drużyny Punkta dołączyły m.in. porównywarka ubezpieczeń mFind, specjalista od likwidacji szkód April Polska (obecnie IsonCare), potentat na rynku ubezpieczeń podróżnych w krajach adriatyckich (Coris) oraz multiagencje Arrant Ubezpieczenia i Profi Insurance. </w:t>
      </w:r>
      <w:r w:rsidDel="00000000" w:rsidR="00000000" w:rsidRPr="00000000">
        <w:rPr>
          <w:rtl w:val="0"/>
        </w:rPr>
      </w:r>
    </w:p>
    <w:sectPr>
      <w:headerReference r:id="rId7" w:type="default"/>
      <w:footerReference r:id="rId8" w:type="default"/>
      <w:footerReference r:id="rId9" w:type="first"/>
      <w:pgSz w:h="16834" w:w="11909" w:orient="portrait"/>
      <w:pgMar w:bottom="1440" w:top="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ed Hat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sz w:val="24"/>
        <w:szCs w:val="24"/>
      </w:rPr>
    </w:pPr>
    <w:r w:rsidDel="00000000" w:rsidR="00000000" w:rsidRPr="00000000">
      <w:rPr>
        <w:sz w:val="24"/>
        <w:szCs w:val="24"/>
      </w:rPr>
      <w:drawing>
        <wp:inline distB="114300" distT="114300" distL="114300" distR="114300">
          <wp:extent cx="1685925" cy="466725"/>
          <wp:effectExtent b="0" l="0" r="0" t="0"/>
          <wp:docPr id="5" name="image1.png"/>
          <a:graphic>
            <a:graphicData uri="http://schemas.openxmlformats.org/drawingml/2006/picture">
              <pic:pic>
                <pic:nvPicPr>
                  <pic:cNvPr id="0" name="image1.png"/>
                  <pic:cNvPicPr preferRelativeResize="0"/>
                </pic:nvPicPr>
                <pic:blipFill>
                  <a:blip r:embed="rId1"/>
                  <a:srcRect b="17977" l="13658" r="0" t="26966"/>
                  <a:stretch>
                    <a:fillRect/>
                  </a:stretch>
                </pic:blipFill>
                <pic:spPr>
                  <a:xfrm>
                    <a:off x="0" y="0"/>
                    <a:ext cx="168592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jc w:val="lef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edHatDisplay-regular.ttf"/><Relationship Id="rId2" Type="http://schemas.openxmlformats.org/officeDocument/2006/relationships/font" Target="fonts/RedHatDisplay-bold.ttf"/><Relationship Id="rId3" Type="http://schemas.openxmlformats.org/officeDocument/2006/relationships/font" Target="fonts/RedHatDisplay-italic.ttf"/><Relationship Id="rId4" Type="http://schemas.openxmlformats.org/officeDocument/2006/relationships/font" Target="fonts/RedHat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QGSJxg1e0BXCPVhDj1SUU0hhg==">AMUW2mUskAdQAlIZxucBKQGV7HlB5pMB5NRXIibpdnaRJ3oNaBsfeBENbi9uZCD4AXWk4M072ZYYvZwyadocA/ZqKSLoPulrPN3ASI5rXsz5kOoTpgk8h98=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2022-04-19T13:05:00Z</dcterms:created>
  <dc:creator>Michal</dc:creator>
</cp:coreProperties>
</file>