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B07A" w14:textId="06126617" w:rsidR="007C6594" w:rsidRDefault="007C6594" w:rsidP="00F937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Światowy Dzień Otyło</w:t>
      </w:r>
      <w:r w:rsidR="00A67C3C">
        <w:rPr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>ci</w:t>
      </w:r>
      <w:r w:rsidR="00A67C3C">
        <w:rPr>
          <w:b/>
          <w:bCs/>
          <w:sz w:val="24"/>
          <w:szCs w:val="24"/>
        </w:rPr>
        <w:t xml:space="preserve"> 2023</w:t>
      </w:r>
    </w:p>
    <w:p w14:paraId="32C803F5" w14:textId="6AA0AA1D" w:rsidR="00247F62" w:rsidRDefault="008A2AD7" w:rsidP="00F937B1">
      <w:pPr>
        <w:jc w:val="center"/>
      </w:pPr>
      <w:r w:rsidRPr="008A2AD7">
        <w:rPr>
          <w:b/>
          <w:bCs/>
          <w:sz w:val="24"/>
          <w:szCs w:val="24"/>
        </w:rPr>
        <w:t xml:space="preserve">Karta Praw Chorego na Otyłość – </w:t>
      </w:r>
      <w:r w:rsidR="0051521E">
        <w:rPr>
          <w:b/>
          <w:bCs/>
          <w:sz w:val="24"/>
          <w:szCs w:val="24"/>
        </w:rPr>
        <w:br/>
      </w:r>
      <w:r w:rsidR="005F3D54">
        <w:rPr>
          <w:b/>
          <w:bCs/>
          <w:sz w:val="24"/>
          <w:szCs w:val="24"/>
        </w:rPr>
        <w:t>o czym każdy</w:t>
      </w:r>
      <w:r w:rsidR="0051521E">
        <w:rPr>
          <w:b/>
          <w:bCs/>
          <w:sz w:val="24"/>
          <w:szCs w:val="24"/>
        </w:rPr>
        <w:t xml:space="preserve"> powinien wiedzieć</w:t>
      </w:r>
      <w:r w:rsidR="005F3D54">
        <w:rPr>
          <w:b/>
          <w:bCs/>
          <w:sz w:val="24"/>
          <w:szCs w:val="24"/>
        </w:rPr>
        <w:t>?</w:t>
      </w:r>
    </w:p>
    <w:p w14:paraId="4CDC5A17" w14:textId="7DFBFD53" w:rsidR="00B853D2" w:rsidRDefault="002B6A9A" w:rsidP="00275119">
      <w:pPr>
        <w:jc w:val="both"/>
        <w:rPr>
          <w:b/>
          <w:bCs/>
        </w:rPr>
      </w:pPr>
      <w:r>
        <w:rPr>
          <w:b/>
          <w:bCs/>
        </w:rPr>
        <w:t>Światowa Federacja Otyłości zwraca uwagę, iż t</w:t>
      </w:r>
      <w:r w:rsidR="00B21CD4">
        <w:rPr>
          <w:b/>
          <w:bCs/>
        </w:rPr>
        <w:t xml:space="preserve">egoroczne obchody Światowego Dnia Otyłości </w:t>
      </w:r>
      <w:r>
        <w:rPr>
          <w:b/>
          <w:bCs/>
        </w:rPr>
        <w:t>powinny się koncent</w:t>
      </w:r>
      <w:r w:rsidR="00105263">
        <w:rPr>
          <w:b/>
          <w:bCs/>
        </w:rPr>
        <w:t>r</w:t>
      </w:r>
      <w:r>
        <w:rPr>
          <w:b/>
          <w:bCs/>
        </w:rPr>
        <w:t xml:space="preserve">ować na </w:t>
      </w:r>
      <w:r w:rsidR="00B21CD4">
        <w:rPr>
          <w:b/>
          <w:bCs/>
        </w:rPr>
        <w:t xml:space="preserve"> potrzeb</w:t>
      </w:r>
      <w:r>
        <w:rPr>
          <w:b/>
          <w:bCs/>
        </w:rPr>
        <w:t>ie</w:t>
      </w:r>
      <w:r w:rsidR="00B21CD4">
        <w:rPr>
          <w:b/>
          <w:bCs/>
        </w:rPr>
        <w:t xml:space="preserve"> inicjowania </w:t>
      </w:r>
      <w:r w:rsidR="00D10C2F">
        <w:rPr>
          <w:b/>
          <w:bCs/>
        </w:rPr>
        <w:t xml:space="preserve">zarówno </w:t>
      </w:r>
      <w:r w:rsidR="00B21CD4">
        <w:rPr>
          <w:b/>
          <w:bCs/>
        </w:rPr>
        <w:t xml:space="preserve">wśród społeczeństwa, </w:t>
      </w:r>
      <w:r w:rsidR="00D10C2F">
        <w:rPr>
          <w:b/>
          <w:bCs/>
        </w:rPr>
        <w:t>jak i</w:t>
      </w:r>
      <w:r w:rsidR="00B21CD4">
        <w:rPr>
          <w:b/>
          <w:bCs/>
        </w:rPr>
        <w:t xml:space="preserve"> chorych na otyłość szczerej rozmowy o chorobie</w:t>
      </w:r>
      <w:r w:rsidR="00B853D2">
        <w:rPr>
          <w:rStyle w:val="Odwoanieprzypisudolnego"/>
          <w:b/>
          <w:bCs/>
        </w:rPr>
        <w:footnoteReference w:id="2"/>
      </w:r>
      <w:r w:rsidR="00D10C2F">
        <w:rPr>
          <w:b/>
          <w:bCs/>
        </w:rPr>
        <w:t>.</w:t>
      </w:r>
      <w:r w:rsidR="00B21CD4">
        <w:rPr>
          <w:b/>
          <w:bCs/>
        </w:rPr>
        <w:t xml:space="preserve"> Idea ta jest silnie związana z faktem, </w:t>
      </w:r>
      <w:r w:rsidR="00874726">
        <w:rPr>
          <w:b/>
          <w:bCs/>
        </w:rPr>
        <w:t>iż</w:t>
      </w:r>
      <w:r w:rsidR="00177E0B">
        <w:rPr>
          <w:b/>
          <w:bCs/>
        </w:rPr>
        <w:t xml:space="preserve"> </w:t>
      </w:r>
      <w:r w:rsidR="00874726">
        <w:rPr>
          <w:b/>
          <w:bCs/>
        </w:rPr>
        <w:t>język, jakim się posługujemy ma ogromną moc</w:t>
      </w:r>
      <w:r w:rsidR="00BF34C2">
        <w:rPr>
          <w:b/>
          <w:bCs/>
        </w:rPr>
        <w:t xml:space="preserve"> kształtowania rzeczywistości</w:t>
      </w:r>
      <w:r w:rsidR="00BB0659">
        <w:rPr>
          <w:b/>
          <w:bCs/>
        </w:rPr>
        <w:t xml:space="preserve">. Może </w:t>
      </w:r>
      <w:r w:rsidR="00BA014F">
        <w:rPr>
          <w:b/>
          <w:bCs/>
        </w:rPr>
        <w:t>wzmacniać równość</w:t>
      </w:r>
      <w:r w:rsidR="00A846E7">
        <w:rPr>
          <w:b/>
          <w:bCs/>
        </w:rPr>
        <w:t xml:space="preserve">, ale także dyskryminować </w:t>
      </w:r>
      <w:r w:rsidR="00E04262">
        <w:rPr>
          <w:b/>
          <w:bCs/>
        </w:rPr>
        <w:t xml:space="preserve">poprzez </w:t>
      </w:r>
      <w:r w:rsidR="005747D4">
        <w:rPr>
          <w:b/>
          <w:bCs/>
        </w:rPr>
        <w:t>budowanie uprzedzeń</w:t>
      </w:r>
      <w:r w:rsidR="007562BC">
        <w:rPr>
          <w:b/>
          <w:bCs/>
        </w:rPr>
        <w:t>.</w:t>
      </w:r>
      <w:r w:rsidR="009A183C">
        <w:rPr>
          <w:b/>
          <w:bCs/>
        </w:rPr>
        <w:t xml:space="preserve"> T</w:t>
      </w:r>
      <w:r w:rsidR="003C159A">
        <w:rPr>
          <w:b/>
          <w:bCs/>
        </w:rPr>
        <w:t>a</w:t>
      </w:r>
      <w:r w:rsidR="009A183C">
        <w:rPr>
          <w:b/>
          <w:bCs/>
        </w:rPr>
        <w:t xml:space="preserve"> drug</w:t>
      </w:r>
      <w:r w:rsidR="003C159A">
        <w:rPr>
          <w:b/>
          <w:bCs/>
        </w:rPr>
        <w:t>a</w:t>
      </w:r>
      <w:r w:rsidR="009A183C">
        <w:rPr>
          <w:b/>
          <w:bCs/>
        </w:rPr>
        <w:t xml:space="preserve"> stron</w:t>
      </w:r>
      <w:r w:rsidR="003C159A">
        <w:rPr>
          <w:b/>
          <w:bCs/>
        </w:rPr>
        <w:t>a</w:t>
      </w:r>
      <w:r w:rsidR="009A183C">
        <w:rPr>
          <w:b/>
          <w:bCs/>
        </w:rPr>
        <w:t xml:space="preserve"> </w:t>
      </w:r>
      <w:r w:rsidR="002B788C">
        <w:rPr>
          <w:b/>
          <w:bCs/>
        </w:rPr>
        <w:t xml:space="preserve">siły komunikacji </w:t>
      </w:r>
      <w:r w:rsidR="003C159A">
        <w:rPr>
          <w:b/>
          <w:bCs/>
        </w:rPr>
        <w:t xml:space="preserve">jest codziennością </w:t>
      </w:r>
      <w:r w:rsidR="0080454C">
        <w:rPr>
          <w:b/>
          <w:bCs/>
        </w:rPr>
        <w:t xml:space="preserve">dla </w:t>
      </w:r>
      <w:r w:rsidR="0037068A">
        <w:rPr>
          <w:b/>
          <w:bCs/>
        </w:rPr>
        <w:t xml:space="preserve">ponad </w:t>
      </w:r>
      <w:r w:rsidR="00E31039">
        <w:rPr>
          <w:b/>
          <w:bCs/>
        </w:rPr>
        <w:t xml:space="preserve">miliarda </w:t>
      </w:r>
      <w:r w:rsidR="0080454C">
        <w:rPr>
          <w:b/>
          <w:bCs/>
        </w:rPr>
        <w:t xml:space="preserve">chorych na otyłość </w:t>
      </w:r>
      <w:r w:rsidR="00D3009D">
        <w:rPr>
          <w:b/>
          <w:bCs/>
        </w:rPr>
        <w:t xml:space="preserve">na </w:t>
      </w:r>
      <w:r w:rsidR="0019449D">
        <w:rPr>
          <w:b/>
          <w:bCs/>
        </w:rPr>
        <w:t xml:space="preserve">świecie. </w:t>
      </w:r>
      <w:r w:rsidR="00275119">
        <w:rPr>
          <w:b/>
          <w:bCs/>
        </w:rPr>
        <w:t>W Polsce</w:t>
      </w:r>
      <w:r w:rsidR="00B853D2">
        <w:rPr>
          <w:b/>
          <w:bCs/>
        </w:rPr>
        <w:t xml:space="preserve"> </w:t>
      </w:r>
      <w:r w:rsidR="00B21CD4" w:rsidRPr="000B46CF">
        <w:rPr>
          <w:b/>
          <w:bCs/>
        </w:rPr>
        <w:t>45% osób z otyłością deklaruje, że osobiście doświadczył</w:t>
      </w:r>
      <w:r w:rsidR="00B21CD4">
        <w:rPr>
          <w:b/>
          <w:bCs/>
        </w:rPr>
        <w:t>o</w:t>
      </w:r>
      <w:r w:rsidR="00B21CD4" w:rsidRPr="000B46CF">
        <w:rPr>
          <w:b/>
          <w:bCs/>
        </w:rPr>
        <w:t xml:space="preserve"> zwracania uwagi na </w:t>
      </w:r>
      <w:r w:rsidR="00B21CD4">
        <w:rPr>
          <w:b/>
          <w:bCs/>
        </w:rPr>
        <w:t>ich</w:t>
      </w:r>
      <w:r w:rsidR="00B21CD4" w:rsidRPr="000B46CF">
        <w:rPr>
          <w:b/>
          <w:bCs/>
        </w:rPr>
        <w:t xml:space="preserve"> masę ciała, a 35% spotkało się z przemocą słowną</w:t>
      </w:r>
      <w:r w:rsidR="00B21CD4">
        <w:rPr>
          <w:b/>
          <w:bCs/>
        </w:rPr>
        <w:t xml:space="preserve"> związaną z otyłością</w:t>
      </w:r>
      <w:r w:rsidR="00B21CD4" w:rsidRPr="000B46CF">
        <w:rPr>
          <w:rStyle w:val="Odwoanieprzypisudolnego"/>
          <w:b/>
          <w:bCs/>
        </w:rPr>
        <w:footnoteReference w:id="3"/>
      </w:r>
      <w:r w:rsidR="00B21CD4" w:rsidRPr="000B46CF">
        <w:rPr>
          <w:b/>
          <w:bCs/>
        </w:rPr>
        <w:t xml:space="preserve">. Przypadków dyskryminacji </w:t>
      </w:r>
      <w:r w:rsidR="00B21CD4">
        <w:rPr>
          <w:b/>
          <w:bCs/>
        </w:rPr>
        <w:t>tej grupy chorych</w:t>
      </w:r>
      <w:r w:rsidR="00B21CD4" w:rsidRPr="000B46CF">
        <w:rPr>
          <w:b/>
          <w:bCs/>
        </w:rPr>
        <w:t xml:space="preserve"> nie brakuje </w:t>
      </w:r>
      <w:r w:rsidR="00B21CD4">
        <w:rPr>
          <w:b/>
          <w:bCs/>
        </w:rPr>
        <w:t xml:space="preserve">również </w:t>
      </w:r>
      <w:r w:rsidR="00B21CD4" w:rsidRPr="000B46CF">
        <w:rPr>
          <w:b/>
          <w:bCs/>
        </w:rPr>
        <w:t xml:space="preserve">w </w:t>
      </w:r>
      <w:r w:rsidR="00B21CD4">
        <w:rPr>
          <w:b/>
          <w:bCs/>
        </w:rPr>
        <w:t xml:space="preserve">obszarze </w:t>
      </w:r>
      <w:r w:rsidR="00B21CD4" w:rsidRPr="000B46CF">
        <w:rPr>
          <w:b/>
          <w:bCs/>
        </w:rPr>
        <w:t>syste</w:t>
      </w:r>
      <w:r w:rsidR="00B21CD4">
        <w:rPr>
          <w:b/>
          <w:bCs/>
        </w:rPr>
        <w:t>mu</w:t>
      </w:r>
      <w:r w:rsidR="00B21CD4" w:rsidRPr="000B46CF">
        <w:rPr>
          <w:b/>
          <w:bCs/>
        </w:rPr>
        <w:t xml:space="preserve"> ochrony zdrowia. </w:t>
      </w:r>
      <w:r w:rsidR="009A3D31">
        <w:rPr>
          <w:b/>
          <w:bCs/>
        </w:rPr>
        <w:t xml:space="preserve">Aż </w:t>
      </w:r>
      <w:r w:rsidR="00B21CD4" w:rsidRPr="000B46CF">
        <w:rPr>
          <w:b/>
          <w:bCs/>
        </w:rPr>
        <w:t>40% badanych spotkało się z</w:t>
      </w:r>
      <w:r w:rsidR="00B21CD4">
        <w:rPr>
          <w:b/>
          <w:bCs/>
        </w:rPr>
        <w:t> </w:t>
      </w:r>
      <w:r w:rsidR="00B21CD4" w:rsidRPr="000B46CF">
        <w:rPr>
          <w:b/>
          <w:bCs/>
        </w:rPr>
        <w:t xml:space="preserve">niewłaściwym traktowaniem </w:t>
      </w:r>
      <w:r w:rsidR="00B21CD4">
        <w:rPr>
          <w:b/>
          <w:bCs/>
        </w:rPr>
        <w:t>ze</w:t>
      </w:r>
      <w:r w:rsidR="00B21CD4" w:rsidRPr="000B46CF">
        <w:rPr>
          <w:b/>
          <w:bCs/>
        </w:rPr>
        <w:t xml:space="preserve"> strony przedstawicieli ochrony zdrowia</w:t>
      </w:r>
      <w:r w:rsidR="00B21CD4" w:rsidRPr="000B46CF">
        <w:rPr>
          <w:rStyle w:val="Odwoanieprzypisudolnego"/>
          <w:b/>
          <w:bCs/>
        </w:rPr>
        <w:footnoteReference w:id="4"/>
      </w:r>
      <w:r w:rsidR="00B21CD4" w:rsidRPr="000B46CF">
        <w:rPr>
          <w:b/>
          <w:bCs/>
        </w:rPr>
        <w:t>.</w:t>
      </w:r>
      <w:r w:rsidR="00B853D2">
        <w:rPr>
          <w:b/>
          <w:bCs/>
        </w:rPr>
        <w:t xml:space="preserve"> </w:t>
      </w:r>
      <w:r w:rsidR="00102337">
        <w:rPr>
          <w:b/>
          <w:bCs/>
        </w:rPr>
        <w:t>Ta sytuacja pokazuje, że kształtowanie właściwej kultury komunikacyjnej ma</w:t>
      </w:r>
      <w:r w:rsidR="00C9610F">
        <w:rPr>
          <w:b/>
          <w:bCs/>
        </w:rPr>
        <w:t xml:space="preserve"> priorytetowe znaczenie. </w:t>
      </w:r>
    </w:p>
    <w:p w14:paraId="34425539" w14:textId="248707A9" w:rsidR="00916337" w:rsidRPr="00B853D2" w:rsidRDefault="00C9610F" w:rsidP="00275119">
      <w:pPr>
        <w:jc w:val="both"/>
      </w:pPr>
      <w:r w:rsidRPr="00B853D2">
        <w:t>Punktem wyjścia</w:t>
      </w:r>
      <w:r w:rsidR="00B853D2" w:rsidRPr="00B853D2">
        <w:t xml:space="preserve"> dla tej sytuacji</w:t>
      </w:r>
      <w:r w:rsidRPr="00B853D2">
        <w:t xml:space="preserve"> jest uznanie, że </w:t>
      </w:r>
      <w:r w:rsidR="00CE6F98" w:rsidRPr="00B853D2">
        <w:t>otyłość jest chorobą a</w:t>
      </w:r>
      <w:r w:rsidR="004E0E55" w:rsidRPr="00B853D2">
        <w:t xml:space="preserve"> </w:t>
      </w:r>
      <w:r w:rsidR="00CE6F98" w:rsidRPr="00B853D2">
        <w:t xml:space="preserve">nie defektem estetycznym, za </w:t>
      </w:r>
      <w:r w:rsidR="004E0E55" w:rsidRPr="00B853D2">
        <w:t xml:space="preserve">rozwój </w:t>
      </w:r>
      <w:r w:rsidR="00CE6F98" w:rsidRPr="00B853D2">
        <w:t>którego obarcza się chorego.</w:t>
      </w:r>
      <w:r w:rsidR="004E0E55" w:rsidRPr="00B853D2">
        <w:t xml:space="preserve"> World Health Organisation </w:t>
      </w:r>
      <w:r w:rsidR="008901C0" w:rsidRPr="00B853D2">
        <w:t xml:space="preserve">już </w:t>
      </w:r>
      <w:r w:rsidR="004E0E55" w:rsidRPr="00B853D2">
        <w:t xml:space="preserve">ponad </w:t>
      </w:r>
      <w:r w:rsidR="00883857" w:rsidRPr="00B853D2">
        <w:t>6 dekad temu nadał</w:t>
      </w:r>
      <w:r w:rsidR="00AB2D2E" w:rsidRPr="00B853D2">
        <w:t>a</w:t>
      </w:r>
      <w:r w:rsidR="00883857" w:rsidRPr="00B853D2">
        <w:t xml:space="preserve"> otyłości kod</w:t>
      </w:r>
      <w:r w:rsidR="005E0169" w:rsidRPr="00B853D2">
        <w:t xml:space="preserve"> E66 w </w:t>
      </w:r>
      <w:r w:rsidR="00FF00C9" w:rsidRPr="00B853D2">
        <w:t>M</w:t>
      </w:r>
      <w:r w:rsidR="005E0169" w:rsidRPr="00B853D2">
        <w:t xml:space="preserve">iędzynarodowej </w:t>
      </w:r>
      <w:r w:rsidR="005553A4" w:rsidRPr="00B853D2">
        <w:t>K</w:t>
      </w:r>
      <w:r w:rsidR="005E0169" w:rsidRPr="00B853D2">
        <w:t xml:space="preserve">lasyfikacji </w:t>
      </w:r>
      <w:r w:rsidR="005553A4" w:rsidRPr="00B853D2">
        <w:t>C</w:t>
      </w:r>
      <w:r w:rsidR="005E0169" w:rsidRPr="00B853D2">
        <w:t>horób</w:t>
      </w:r>
      <w:r w:rsidR="005553A4" w:rsidRPr="00B853D2">
        <w:t xml:space="preserve"> (ICD-10)</w:t>
      </w:r>
      <w:r w:rsidR="00856278" w:rsidRPr="00B853D2">
        <w:t>, ale mimo to do dziś toczą się społeczne dyskusje</w:t>
      </w:r>
      <w:r w:rsidR="00883857" w:rsidRPr="00B853D2">
        <w:t xml:space="preserve"> </w:t>
      </w:r>
      <w:r w:rsidR="00856278" w:rsidRPr="00B853D2">
        <w:t>na temat charakteru</w:t>
      </w:r>
      <w:r w:rsidR="00771D9D">
        <w:t xml:space="preserve"> choroby, jaką jest</w:t>
      </w:r>
      <w:r w:rsidR="00856278" w:rsidRPr="00B853D2">
        <w:t xml:space="preserve"> otyłoś</w:t>
      </w:r>
      <w:r w:rsidR="00771D9D">
        <w:t>ć</w:t>
      </w:r>
      <w:r w:rsidR="00856278" w:rsidRPr="00B853D2">
        <w:t xml:space="preserve">. </w:t>
      </w:r>
      <w:r w:rsidR="00923667" w:rsidRPr="00B853D2">
        <w:t>Brak powszechnej zgody na uznanie otyłości za chorobę skutkuje społecznym przyzwoleniem na stygmatyzację, wykluczenie</w:t>
      </w:r>
      <w:r w:rsidR="00D35DB7" w:rsidRPr="00B853D2">
        <w:t xml:space="preserve"> i negatywną ocenę chorych</w:t>
      </w:r>
      <w:r w:rsidR="0036312B" w:rsidRPr="00B853D2">
        <w:t>, czego na tak dużą skalę nie obserwuje się w przypadku innych problemów zdrowotnych.</w:t>
      </w:r>
    </w:p>
    <w:p w14:paraId="2A83D3A6" w14:textId="707D7C99" w:rsidR="00B21CD4" w:rsidRPr="00B853D2" w:rsidRDefault="007305D1" w:rsidP="00275119">
      <w:pPr>
        <w:jc w:val="both"/>
      </w:pPr>
      <w:r w:rsidRPr="00B853D2">
        <w:t>Budowanie kultury komunikacji na temat choroby otyłościowej to proces</w:t>
      </w:r>
      <w:r w:rsidR="0002663E" w:rsidRPr="00B853D2">
        <w:t xml:space="preserve">, w który muszą się zaangażować przedstawiciele różnych środowisk. </w:t>
      </w:r>
      <w:r w:rsidR="00B21CD4" w:rsidRPr="00B853D2">
        <w:t xml:space="preserve">Z tą myślą </w:t>
      </w:r>
      <w:r w:rsidR="00F425BB" w:rsidRPr="00B853D2">
        <w:t>w ramach kampanii</w:t>
      </w:r>
      <w:r w:rsidR="005E219F" w:rsidRPr="00B853D2">
        <w:t xml:space="preserve"> edukacyjnej </w:t>
      </w:r>
      <w:r w:rsidR="00F425BB" w:rsidRPr="00B853D2">
        <w:t xml:space="preserve"> </w:t>
      </w:r>
      <w:r w:rsidR="005E219F" w:rsidRPr="00B853D2">
        <w:t>„</w:t>
      </w:r>
      <w:r w:rsidR="00F425BB" w:rsidRPr="00B853D2">
        <w:t>Porozmawiajmy szczerze o otyłości</w:t>
      </w:r>
      <w:r w:rsidR="005E219F" w:rsidRPr="00B853D2">
        <w:t xml:space="preserve">” z inicjatywy Polskiego Towarzystwa Leczenia Otyłości we współpracy z Instytutem Praw Pacjenta i Edukacji Zdrowotnej </w:t>
      </w:r>
      <w:r w:rsidR="00EE06A9" w:rsidRPr="00B853D2">
        <w:t xml:space="preserve">powstała </w:t>
      </w:r>
      <w:r w:rsidR="00B21CD4" w:rsidRPr="00B853D2">
        <w:t>„Karta Praw Chorego na Otyłość</w:t>
      </w:r>
      <w:r w:rsidR="001901BA" w:rsidRPr="00B853D2">
        <w:t>”. Jej</w:t>
      </w:r>
      <w:r w:rsidR="00B21CD4" w:rsidRPr="00B853D2">
        <w:t xml:space="preserve"> celem jest wskazanie na istniejące regulacje prawne, które zapewniają chorym na otyłość opiekę medyczną zgodną ze współczesną wiedzą medyczną i z przestrzeganiem równego dostępu do rzetelnej informacji, należytej diagnostyki, a także leczenia.</w:t>
      </w:r>
    </w:p>
    <w:p w14:paraId="1BB05942" w14:textId="76D629DA" w:rsidR="000B46CF" w:rsidRPr="00CC67DB" w:rsidRDefault="00173E11" w:rsidP="00247F62">
      <w:pPr>
        <w:rPr>
          <w:b/>
          <w:bCs/>
        </w:rPr>
      </w:pPr>
      <w:r>
        <w:rPr>
          <w:b/>
          <w:bCs/>
        </w:rPr>
        <w:t>Skąd pomysł na powstanie dokumentu?</w:t>
      </w:r>
    </w:p>
    <w:p w14:paraId="7C5FF3CB" w14:textId="0818BD24" w:rsidR="00B00D17" w:rsidRPr="00B00D17" w:rsidRDefault="00CC7E49" w:rsidP="00EA6890">
      <w:pPr>
        <w:jc w:val="both"/>
        <w:rPr>
          <w:b/>
          <w:bCs/>
        </w:rPr>
      </w:pPr>
      <w:r>
        <w:rPr>
          <w:i/>
          <w:iCs/>
        </w:rPr>
        <w:t>Otyłość to złożona choroba przewlekła, która sama nie ustępuje, ma tendencje do nawrotów i generuje bardzo dużą liczbę powikłań (ponad 200!). Chorzy na otyłość muszą mierzyć się z trudnościami począwszy od dostępu do specjalistów posiadających wiedzę i umiejętności w leczeniu otyłości, poprzez ograniczoną infrastrukturę (brak specjalistycznego sprzętu dostosowanego do masy ciała, jak np.: tomografy, łóżka, wózki), a kończąc na niejednokrotnie negatywnym nastawieniu do chorych wśród pracowników ochrony zdrowia, a także niezgodnego ze współczesną wiedzą medyczną braku postrzegania otyłości jako choroby,  </w:t>
      </w:r>
      <w:r>
        <w:t xml:space="preserve">– </w:t>
      </w:r>
      <w:r>
        <w:rPr>
          <w:b/>
          <w:bCs/>
        </w:rPr>
        <w:t xml:space="preserve">mówi dr hab. n. med. Mariusz Wyleżoł, Wiceprezes Polskiego </w:t>
      </w:r>
      <w:r>
        <w:rPr>
          <w:b/>
          <w:bCs/>
        </w:rPr>
        <w:lastRenderedPageBreak/>
        <w:t>Towarzystwa Leczenia Otyłości</w:t>
      </w:r>
      <w:r>
        <w:t>. -</w:t>
      </w:r>
      <w:r>
        <w:rPr>
          <w:i/>
          <w:iCs/>
        </w:rPr>
        <w:t xml:space="preserve"> Niezbędny był więc z naszej perspektywy dokument, który będzie stanowił odpowiednie narzędzie dla chorych poszukujących profesjonalnej pomocy </w:t>
      </w:r>
      <w:r>
        <w:t xml:space="preserve">– </w:t>
      </w:r>
      <w:r>
        <w:rPr>
          <w:b/>
          <w:bCs/>
        </w:rPr>
        <w:t>podkreśla.</w:t>
      </w:r>
    </w:p>
    <w:p w14:paraId="12827079" w14:textId="33FDDEA4" w:rsidR="00D94AED" w:rsidRDefault="00B00D17" w:rsidP="004A2756">
      <w:pPr>
        <w:jc w:val="both"/>
      </w:pPr>
      <w:r>
        <w:rPr>
          <w:rStyle w:val="ui-provider"/>
          <w:i/>
          <w:iCs/>
        </w:rPr>
        <w:t>Wspólnie wypracowaliśmy dokument, który ma na celu dołożenie przysłowiowej cegiełki do budowania systemu opieki zdrowotnej opartego na dobrych praktykach i poszanowaniu godności wobec chorych na otyłość</w:t>
      </w:r>
      <w:r w:rsidR="004A2756" w:rsidRPr="00871271">
        <w:rPr>
          <w:i/>
        </w:rPr>
        <w:t>.</w:t>
      </w:r>
      <w:r>
        <w:rPr>
          <w:i/>
        </w:rPr>
        <w:t xml:space="preserve"> </w:t>
      </w:r>
      <w:r w:rsidR="004A2756" w:rsidRPr="00871271">
        <w:rPr>
          <w:i/>
        </w:rPr>
        <w:t>Karta jest kolejnym krokiem zbliżającym nas do tego celu</w:t>
      </w:r>
      <w:r w:rsidR="00D94AED">
        <w:t xml:space="preserve"> – </w:t>
      </w:r>
      <w:r w:rsidR="00D94AED" w:rsidRPr="00D94AED">
        <w:rPr>
          <w:b/>
          <w:bCs/>
        </w:rPr>
        <w:t xml:space="preserve">tłumaczy </w:t>
      </w:r>
      <w:r w:rsidR="0009392E">
        <w:rPr>
          <w:b/>
          <w:bCs/>
        </w:rPr>
        <w:t>Igor Grzesiak, Wiceprezes Zarządu Instytutu Praw Pacjenta i Edukacji Zdrowotnej.</w:t>
      </w:r>
    </w:p>
    <w:p w14:paraId="6AF64F8B" w14:textId="58FA69DB" w:rsidR="004A2756" w:rsidRPr="00CC67DB" w:rsidRDefault="00AD413B" w:rsidP="004A2756">
      <w:pPr>
        <w:jc w:val="both"/>
        <w:rPr>
          <w:b/>
          <w:bCs/>
        </w:rPr>
      </w:pPr>
      <w:r w:rsidRPr="00CC67DB">
        <w:rPr>
          <w:b/>
          <w:bCs/>
        </w:rPr>
        <w:t>Co obejmuje „Karta Praw Chorego na Otyłość”?</w:t>
      </w:r>
    </w:p>
    <w:p w14:paraId="19BBD532" w14:textId="53BF2232" w:rsidR="00AD413B" w:rsidRDefault="00AD413B" w:rsidP="004A2756">
      <w:pPr>
        <w:jc w:val="both"/>
      </w:pPr>
      <w:r>
        <w:t xml:space="preserve">Dokument nawiązuje do </w:t>
      </w:r>
      <w:r w:rsidR="008528A1">
        <w:t xml:space="preserve">zasadniczych </w:t>
      </w:r>
      <w:r>
        <w:t>praw, które posiada każdy pacjent chorujący na otyłość. Odnoszą się one m.in. do prawa: świadczeń zdrowotnych, informacji, wyrażania zgody, poszanowania intymności, poszanowania godności, dodatkowej opieki pielęgnacyjne</w:t>
      </w:r>
      <w:r w:rsidR="007210A3">
        <w:t>j</w:t>
      </w:r>
      <w:r w:rsidR="00AA3714">
        <w:t>, dostępu oraz poszanowani</w:t>
      </w:r>
      <w:r w:rsidR="00DA37E3">
        <w:t>a</w:t>
      </w:r>
      <w:r w:rsidR="00AA3714">
        <w:t xml:space="preserve"> tajemnicy dokumentacji medycznej</w:t>
      </w:r>
      <w:r w:rsidR="007210A3">
        <w:t xml:space="preserve">, </w:t>
      </w:r>
      <w:r w:rsidR="00456397">
        <w:t xml:space="preserve">a także </w:t>
      </w:r>
      <w:r w:rsidR="007210A3">
        <w:t xml:space="preserve">do złożenia skargi. Ponadto Karta </w:t>
      </w:r>
      <w:r w:rsidR="00955C4B">
        <w:t>w pierwszym punkcie podkreśla, że n</w:t>
      </w:r>
      <w:r w:rsidR="007210A3">
        <w:t>iezbywalnym i podstawowym prawem każdego chorego</w:t>
      </w:r>
      <w:r w:rsidR="005D5C22">
        <w:t>, w tym także chorego</w:t>
      </w:r>
      <w:r w:rsidR="007210A3">
        <w:t xml:space="preserve"> z otyłością jest prawo do równego traktowania i równego dostępu do gwarantowanych świadczeń opieki zdrowotnej</w:t>
      </w:r>
      <w:r w:rsidR="00955C4B">
        <w:t xml:space="preserve"> niezależnie od sytuacji materialnej. </w:t>
      </w:r>
    </w:p>
    <w:p w14:paraId="41C3AE16" w14:textId="1694E0C6" w:rsidR="00444D7A" w:rsidRDefault="00444D7A" w:rsidP="004A2756">
      <w:pPr>
        <w:jc w:val="both"/>
      </w:pPr>
      <w:r w:rsidRPr="00871271">
        <w:rPr>
          <w:i/>
        </w:rPr>
        <w:t xml:space="preserve">„Karta Praw Chorego na Otyłość” jest </w:t>
      </w:r>
      <w:r w:rsidR="00BA2AA9">
        <w:rPr>
          <w:i/>
        </w:rPr>
        <w:t>unikalnym</w:t>
      </w:r>
      <w:r w:rsidR="00BA2AA9" w:rsidRPr="00871271">
        <w:rPr>
          <w:i/>
        </w:rPr>
        <w:t xml:space="preserve"> </w:t>
      </w:r>
      <w:r w:rsidRPr="00871271">
        <w:rPr>
          <w:i/>
        </w:rPr>
        <w:t xml:space="preserve">dokumentem, który na pierwszym miejscu stawia dobro </w:t>
      </w:r>
      <w:r w:rsidR="00BA2AA9">
        <w:rPr>
          <w:i/>
        </w:rPr>
        <w:t>chorych</w:t>
      </w:r>
      <w:r w:rsidR="00BA2AA9" w:rsidRPr="00871271">
        <w:rPr>
          <w:i/>
        </w:rPr>
        <w:t xml:space="preserve"> </w:t>
      </w:r>
      <w:r w:rsidRPr="00871271">
        <w:rPr>
          <w:i/>
        </w:rPr>
        <w:t xml:space="preserve">z otyłością. </w:t>
      </w:r>
      <w:r w:rsidR="00FF1AE0">
        <w:rPr>
          <w:i/>
        </w:rPr>
        <w:t xml:space="preserve">Sama jestem przykładem </w:t>
      </w:r>
      <w:r w:rsidR="0004169C">
        <w:rPr>
          <w:i/>
        </w:rPr>
        <w:t>na to</w:t>
      </w:r>
      <w:r w:rsidR="00FF1AE0">
        <w:rPr>
          <w:i/>
        </w:rPr>
        <w:t xml:space="preserve">, że </w:t>
      </w:r>
      <w:r w:rsidR="00D85C0A">
        <w:rPr>
          <w:i/>
        </w:rPr>
        <w:t>osoba chorująca na otyłość</w:t>
      </w:r>
      <w:r w:rsidR="00FF1AE0">
        <w:rPr>
          <w:i/>
        </w:rPr>
        <w:t xml:space="preserve"> </w:t>
      </w:r>
      <w:r w:rsidR="0004169C">
        <w:rPr>
          <w:i/>
        </w:rPr>
        <w:t xml:space="preserve">w Polsce regularnie </w:t>
      </w:r>
      <w:r w:rsidR="00B66CD3">
        <w:rPr>
          <w:i/>
        </w:rPr>
        <w:t>spotyka</w:t>
      </w:r>
      <w:r w:rsidR="001401D2">
        <w:rPr>
          <w:i/>
        </w:rPr>
        <w:t xml:space="preserve"> się</w:t>
      </w:r>
      <w:r w:rsidR="00B853D2">
        <w:rPr>
          <w:i/>
        </w:rPr>
        <w:t xml:space="preserve"> </w:t>
      </w:r>
      <w:r w:rsidR="001401D2">
        <w:rPr>
          <w:i/>
        </w:rPr>
        <w:t xml:space="preserve">z brakiem zrozumienia i empatii </w:t>
      </w:r>
      <w:r w:rsidR="00FF1AE0">
        <w:rPr>
          <w:i/>
        </w:rPr>
        <w:t>ze strony</w:t>
      </w:r>
      <w:r w:rsidRPr="00871271">
        <w:rPr>
          <w:i/>
        </w:rPr>
        <w:t xml:space="preserve"> pracowników </w:t>
      </w:r>
      <w:r w:rsidR="00FF1AE0">
        <w:rPr>
          <w:i/>
        </w:rPr>
        <w:t xml:space="preserve">ochrony </w:t>
      </w:r>
      <w:r w:rsidRPr="00871271">
        <w:rPr>
          <w:i/>
        </w:rPr>
        <w:t xml:space="preserve">zdrowia. </w:t>
      </w:r>
      <w:r w:rsidR="00FF1AE0">
        <w:rPr>
          <w:i/>
        </w:rPr>
        <w:t>Mamy do czynienia z sytuacją, w której</w:t>
      </w:r>
      <w:r w:rsidRPr="00871271">
        <w:rPr>
          <w:i/>
        </w:rPr>
        <w:t xml:space="preserve"> nadal w przestrzeni publicznej za nadmierną masę ciała obarcza się </w:t>
      </w:r>
      <w:r w:rsidR="007B0596" w:rsidRPr="00871271">
        <w:rPr>
          <w:i/>
        </w:rPr>
        <w:t>winą</w:t>
      </w:r>
      <w:r w:rsidR="00FF1AE0">
        <w:rPr>
          <w:i/>
        </w:rPr>
        <w:t xml:space="preserve"> samego</w:t>
      </w:r>
      <w:r w:rsidR="007B0596" w:rsidRPr="00871271">
        <w:rPr>
          <w:i/>
        </w:rPr>
        <w:t xml:space="preserve"> </w:t>
      </w:r>
      <w:r w:rsidRPr="00871271">
        <w:rPr>
          <w:i/>
        </w:rPr>
        <w:t>chorego</w:t>
      </w:r>
      <w:r w:rsidR="00771D9D">
        <w:rPr>
          <w:i/>
        </w:rPr>
        <w:t>,</w:t>
      </w:r>
      <w:r w:rsidR="004D76BE">
        <w:rPr>
          <w:i/>
        </w:rPr>
        <w:t xml:space="preserve"> zarzucając mu lenistwo, brak silnej woli </w:t>
      </w:r>
      <w:r w:rsidR="008F1026">
        <w:rPr>
          <w:i/>
        </w:rPr>
        <w:t>i kontroli nad własnym życiem</w:t>
      </w:r>
      <w:r w:rsidRPr="00871271">
        <w:rPr>
          <w:i/>
        </w:rPr>
        <w:t xml:space="preserve">. </w:t>
      </w:r>
      <w:r w:rsidR="007B0596" w:rsidRPr="00871271">
        <w:rPr>
          <w:i/>
        </w:rPr>
        <w:t>Mam nadzieję, że d</w:t>
      </w:r>
      <w:r w:rsidRPr="00871271">
        <w:rPr>
          <w:i/>
        </w:rPr>
        <w:t>zięki</w:t>
      </w:r>
      <w:r w:rsidR="00FF1AE0">
        <w:rPr>
          <w:i/>
        </w:rPr>
        <w:t xml:space="preserve"> dokumentowi</w:t>
      </w:r>
      <w:r w:rsidR="002223C7">
        <w:rPr>
          <w:i/>
        </w:rPr>
        <w:t>,</w:t>
      </w:r>
      <w:r w:rsidR="00FF1AE0">
        <w:rPr>
          <w:i/>
        </w:rPr>
        <w:t xml:space="preserve"> jakim jest Karta Praw</w:t>
      </w:r>
      <w:r w:rsidR="002223C7">
        <w:rPr>
          <w:i/>
        </w:rPr>
        <w:t xml:space="preserve"> Chorego na Otyło</w:t>
      </w:r>
      <w:r w:rsidR="00B853D2">
        <w:rPr>
          <w:i/>
        </w:rPr>
        <w:t>ś</w:t>
      </w:r>
      <w:r w:rsidR="002223C7">
        <w:rPr>
          <w:i/>
        </w:rPr>
        <w:t>ć</w:t>
      </w:r>
      <w:r w:rsidR="00B853D2">
        <w:rPr>
          <w:i/>
        </w:rPr>
        <w:t xml:space="preserve"> </w:t>
      </w:r>
      <w:r w:rsidR="007B0596" w:rsidRPr="00871271">
        <w:rPr>
          <w:i/>
        </w:rPr>
        <w:t xml:space="preserve">liczba przypadków, w których prawa pacjenta z otyłością nie </w:t>
      </w:r>
      <w:r w:rsidR="003F43A6">
        <w:rPr>
          <w:i/>
        </w:rPr>
        <w:t>są</w:t>
      </w:r>
      <w:r w:rsidR="003F43A6" w:rsidRPr="00871271">
        <w:rPr>
          <w:i/>
        </w:rPr>
        <w:t xml:space="preserve"> </w:t>
      </w:r>
      <w:r w:rsidRPr="00871271">
        <w:rPr>
          <w:i/>
        </w:rPr>
        <w:t xml:space="preserve">przestrzegane i egzekwowane </w:t>
      </w:r>
      <w:r w:rsidR="007B0596" w:rsidRPr="00871271">
        <w:rPr>
          <w:i/>
        </w:rPr>
        <w:t>zmniejsz</w:t>
      </w:r>
      <w:r w:rsidR="00FF1AE0">
        <w:rPr>
          <w:i/>
        </w:rPr>
        <w:t>y się</w:t>
      </w:r>
      <w:r w:rsidRPr="00871271">
        <w:rPr>
          <w:i/>
        </w:rPr>
        <w:t xml:space="preserve">. </w:t>
      </w:r>
      <w:r w:rsidR="007B0596" w:rsidRPr="00871271">
        <w:rPr>
          <w:i/>
        </w:rPr>
        <w:t xml:space="preserve">Dokument </w:t>
      </w:r>
      <w:r w:rsidR="00FF1AE0">
        <w:rPr>
          <w:i/>
        </w:rPr>
        <w:t>ma za z</w:t>
      </w:r>
      <w:r w:rsidR="003F43A6">
        <w:rPr>
          <w:i/>
        </w:rPr>
        <w:t>a</w:t>
      </w:r>
      <w:r w:rsidR="00FF1AE0">
        <w:rPr>
          <w:i/>
        </w:rPr>
        <w:t xml:space="preserve">danie </w:t>
      </w:r>
      <w:r w:rsidRPr="00871271">
        <w:rPr>
          <w:i/>
        </w:rPr>
        <w:t>również budow</w:t>
      </w:r>
      <w:r w:rsidR="00FF1AE0">
        <w:rPr>
          <w:i/>
        </w:rPr>
        <w:t>anie</w:t>
      </w:r>
      <w:r w:rsidRPr="00871271">
        <w:rPr>
          <w:i/>
        </w:rPr>
        <w:t xml:space="preserve"> samoświadomości</w:t>
      </w:r>
      <w:r w:rsidR="00FF1AE0">
        <w:rPr>
          <w:i/>
        </w:rPr>
        <w:t xml:space="preserve"> wśród samych</w:t>
      </w:r>
      <w:r w:rsidRPr="00871271">
        <w:rPr>
          <w:i/>
        </w:rPr>
        <w:t xml:space="preserve"> pacjentów, że nie muszą zgadzać się na nierówne traktowanie, a ich stan zdrowia</w:t>
      </w:r>
      <w:r w:rsidR="00FF1AE0">
        <w:rPr>
          <w:i/>
        </w:rPr>
        <w:t xml:space="preserve"> i konieczność leczenia</w:t>
      </w:r>
      <w:r w:rsidRPr="00871271">
        <w:rPr>
          <w:i/>
        </w:rPr>
        <w:t xml:space="preserve"> </w:t>
      </w:r>
      <w:r w:rsidR="00FF1AE0">
        <w:rPr>
          <w:i/>
        </w:rPr>
        <w:t>są tak samo ważne</w:t>
      </w:r>
      <w:r w:rsidR="00771D9D">
        <w:rPr>
          <w:i/>
        </w:rPr>
        <w:t>,</w:t>
      </w:r>
      <w:r w:rsidRPr="00871271">
        <w:rPr>
          <w:i/>
        </w:rPr>
        <w:t xml:space="preserve"> jak</w:t>
      </w:r>
      <w:r w:rsidR="00FF1AE0">
        <w:rPr>
          <w:i/>
        </w:rPr>
        <w:t xml:space="preserve"> </w:t>
      </w:r>
      <w:r w:rsidR="00D85C0A">
        <w:rPr>
          <w:i/>
        </w:rPr>
        <w:t>u</w:t>
      </w:r>
      <w:r w:rsidR="00D85C0A" w:rsidRPr="00871271">
        <w:rPr>
          <w:i/>
        </w:rPr>
        <w:t xml:space="preserve"> </w:t>
      </w:r>
      <w:r w:rsidRPr="00871271">
        <w:rPr>
          <w:i/>
        </w:rPr>
        <w:t>innych chorych</w:t>
      </w:r>
      <w:r>
        <w:t xml:space="preserve"> </w:t>
      </w:r>
      <w:r w:rsidRPr="00444D7A">
        <w:rPr>
          <w:b/>
          <w:bCs/>
        </w:rPr>
        <w:t>– mówi Pani Emilia Modrzyńska, pacjent</w:t>
      </w:r>
      <w:r w:rsidR="00771D9D">
        <w:rPr>
          <w:b/>
          <w:bCs/>
        </w:rPr>
        <w:t>k</w:t>
      </w:r>
      <w:r w:rsidRPr="00444D7A">
        <w:rPr>
          <w:b/>
          <w:bCs/>
        </w:rPr>
        <w:t>a chorująca na otyłość.</w:t>
      </w:r>
    </w:p>
    <w:p w14:paraId="16C530EC" w14:textId="77777777" w:rsidR="000D7190" w:rsidRPr="00CC67DB" w:rsidRDefault="000D7190" w:rsidP="00247F62">
      <w:pPr>
        <w:rPr>
          <w:b/>
          <w:bCs/>
        </w:rPr>
      </w:pPr>
      <w:r w:rsidRPr="00CC67DB">
        <w:rPr>
          <w:b/>
          <w:bCs/>
        </w:rPr>
        <w:t>Prawo do świadczeń zdrowotnych</w:t>
      </w:r>
    </w:p>
    <w:p w14:paraId="47DD9ED4" w14:textId="05DF3AC2" w:rsidR="00DA37E3" w:rsidRDefault="000D7190" w:rsidP="00E31934">
      <w:pPr>
        <w:jc w:val="both"/>
      </w:pPr>
      <w:r>
        <w:t>Chory z otyłością ma prawo do pełnej diagnostyki, leczenia, pielęgnacji i rehabilitacji zgodnie ze wskazaniami aktualnej wiedzy medycznej</w:t>
      </w:r>
      <w:r w:rsidR="00DA37E3">
        <w:t>,</w:t>
      </w:r>
      <w:r>
        <w:t xml:space="preserve"> </w:t>
      </w:r>
      <w:r w:rsidR="00DA37E3">
        <w:t>p</w:t>
      </w:r>
      <w:r>
        <w:t>ełnej i skoordynowanej opieki w zakresie POZ (lekarz, pielęgniarka oraz położna)</w:t>
      </w:r>
      <w:r w:rsidR="00DA37E3">
        <w:t>, edukacji w zakresie samokontroli cukrzycy oraz zasad zdrowego odżywiania.</w:t>
      </w:r>
      <w:r w:rsidR="00FE3D0F">
        <w:t xml:space="preserve"> </w:t>
      </w:r>
      <w:r w:rsidR="00EA3214">
        <w:t xml:space="preserve">Odmowa lub brak chęci udzielenia konsultacji lub </w:t>
      </w:r>
      <w:r w:rsidR="004D6570">
        <w:t xml:space="preserve">wykonania </w:t>
      </w:r>
      <w:r w:rsidR="00EA3214">
        <w:t>badań przez lekarza jest sprzeczna z</w:t>
      </w:r>
      <w:r w:rsidR="00971A58">
        <w:t> </w:t>
      </w:r>
      <w:r w:rsidR="00EA3214">
        <w:t>obowiązujący</w:t>
      </w:r>
      <w:r w:rsidR="007E5EA0">
        <w:t>m</w:t>
      </w:r>
      <w:r w:rsidR="00EA3214">
        <w:t xml:space="preserve"> prawem. W systemie nie powinna mieć miejsca sytuacja, w której na podstawie wyglądu pacjenta, lekarz </w:t>
      </w:r>
      <w:r w:rsidR="00971A58">
        <w:t>deprecjonuje</w:t>
      </w:r>
      <w:r w:rsidR="00EA3214">
        <w:t xml:space="preserve"> objawy, z którymi chory zgłasza się po pomoc. </w:t>
      </w:r>
      <w:r w:rsidR="000619FA">
        <w:t>W </w:t>
      </w:r>
      <w:r w:rsidR="00FE3D0F">
        <w:t xml:space="preserve">ramach NFZ pacjent ma prawo do uzyskania szpitalnego leczenia otyłości. Pod tym pojęciem mieści się również leczenie chirurgiczne. </w:t>
      </w:r>
      <w:r w:rsidR="00450429">
        <w:t>W każdej sytuacji, bez wyjątku chory ma prawo do zasięgnięcia opinii innego lekarza lub zwołania konsylium lekarskiego.</w:t>
      </w:r>
      <w:r w:rsidR="008C5462">
        <w:t xml:space="preserve"> </w:t>
      </w:r>
    </w:p>
    <w:p w14:paraId="02ED4E09" w14:textId="47B87824" w:rsidR="00DA37E3" w:rsidRPr="00CC67DB" w:rsidRDefault="00DA37E3" w:rsidP="00247F62">
      <w:pPr>
        <w:rPr>
          <w:b/>
          <w:bCs/>
        </w:rPr>
      </w:pPr>
      <w:r w:rsidRPr="00CC67DB">
        <w:rPr>
          <w:b/>
          <w:bCs/>
        </w:rPr>
        <w:t xml:space="preserve">Prawo do informacji </w:t>
      </w:r>
    </w:p>
    <w:p w14:paraId="0D49FDA4" w14:textId="6E9B9A42" w:rsidR="00CC67DB" w:rsidRDefault="008C2C28" w:rsidP="00CC67DB">
      <w:pPr>
        <w:jc w:val="both"/>
      </w:pPr>
      <w:r>
        <w:t>Pacjent ma pr</w:t>
      </w:r>
      <w:r w:rsidR="00CC67DB">
        <w:t>a</w:t>
      </w:r>
      <w:r>
        <w:t xml:space="preserve">wo do uzyskania pełnej informacji nie tylko nt. własnego stanu zdrowia </w:t>
      </w:r>
      <w:r w:rsidR="00B67358">
        <w:t>(</w:t>
      </w:r>
      <w:r>
        <w:t>diagnozy</w:t>
      </w:r>
      <w:r w:rsidR="00B67358">
        <w:t>, metod</w:t>
      </w:r>
      <w:r w:rsidR="00DE51B9">
        <w:t xml:space="preserve"> i przebiegu</w:t>
      </w:r>
      <w:r w:rsidR="00B67358">
        <w:t xml:space="preserve"> leczenia, wynikach badań, rokowani</w:t>
      </w:r>
      <w:r w:rsidR="00E31934">
        <w:t>ach</w:t>
      </w:r>
      <w:r w:rsidR="00B67358">
        <w:t>), ale również dostępnych profilaktycznych program</w:t>
      </w:r>
      <w:r w:rsidR="00771D9D">
        <w:t>ów</w:t>
      </w:r>
      <w:r w:rsidR="00B67358">
        <w:t xml:space="preserve"> zdrowotnych finansowanych ze środków publicznych oraz rodzaju metod leczniczych dostępnych dla niego w zakresie działalności danego podmiotu medycznego</w:t>
      </w:r>
      <w:r w:rsidR="00971A58" w:rsidRPr="000619FA">
        <w:rPr>
          <w:b/>
        </w:rPr>
        <w:t xml:space="preserve">. </w:t>
      </w:r>
      <w:r w:rsidR="00F77AF6" w:rsidRPr="000619FA">
        <w:rPr>
          <w:b/>
        </w:rPr>
        <w:t xml:space="preserve">Obecnie </w:t>
      </w:r>
      <w:r w:rsidR="00FD6B2C" w:rsidRPr="000619FA">
        <w:rPr>
          <w:b/>
        </w:rPr>
        <w:t>chorzy z</w:t>
      </w:r>
      <w:r w:rsidR="00971A58" w:rsidRPr="000619FA">
        <w:rPr>
          <w:b/>
        </w:rPr>
        <w:t>e</w:t>
      </w:r>
      <w:r w:rsidR="00FD6B2C" w:rsidRPr="000619FA">
        <w:rPr>
          <w:b/>
        </w:rPr>
        <w:t xml:space="preserve"> zdiagnozowaną otyłością olbrzymią mogą skorzystać z programu KOS-BAR, który zapewnia pacjentom kompleksowe chirurgiczne leczenie otyłości. </w:t>
      </w:r>
      <w:r w:rsidR="00BA70EE" w:rsidRPr="000619FA">
        <w:rPr>
          <w:b/>
        </w:rPr>
        <w:t xml:space="preserve">Wkrótce pojawi się też nowy program pilotażowy skierowany do pacjentów, u których stwierdzono otyłość lub wysokie ryzyko jej rozwoju. Pierwsze </w:t>
      </w:r>
      <w:r w:rsidR="00B918F4" w:rsidRPr="000619FA">
        <w:rPr>
          <w:b/>
        </w:rPr>
        <w:t>jego propozycje mają zostać przedstawione Ministrowi Zdrowia w marcu 2023 roku.</w:t>
      </w:r>
      <w:r w:rsidR="00BA70EE" w:rsidRPr="000619FA">
        <w:rPr>
          <w:b/>
        </w:rPr>
        <w:t xml:space="preserve"> </w:t>
      </w:r>
      <w:r w:rsidR="00B918F4">
        <w:t xml:space="preserve">Każdy </w:t>
      </w:r>
      <w:r w:rsidR="00B918F4">
        <w:lastRenderedPageBreak/>
        <w:t>c</w:t>
      </w:r>
      <w:r w:rsidR="00B67358">
        <w:t xml:space="preserve">hory z otyłością </w:t>
      </w:r>
      <w:r w:rsidR="00B918F4">
        <w:t xml:space="preserve">powinien mieć świadomość, że </w:t>
      </w:r>
      <w:r w:rsidR="00B67358">
        <w:t xml:space="preserve">nie ma obowiązku </w:t>
      </w:r>
      <w:r w:rsidR="0037429D">
        <w:t xml:space="preserve">polegającego na wyłącznym </w:t>
      </w:r>
      <w:r w:rsidR="00B67358">
        <w:t>przyjmowani</w:t>
      </w:r>
      <w:r w:rsidR="0037429D">
        <w:t>u</w:t>
      </w:r>
      <w:r w:rsidR="00B67358">
        <w:t xml:space="preserve"> informacji od pracowników opieki zdrowotnej</w:t>
      </w:r>
      <w:r w:rsidR="00943364">
        <w:t>. Na każdym etapie</w:t>
      </w:r>
      <w:r w:rsidR="00B853D2">
        <w:t xml:space="preserve"> </w:t>
      </w:r>
      <w:r w:rsidR="00484AAB">
        <w:t>chory</w:t>
      </w:r>
      <w:r w:rsidR="007D561A">
        <w:t xml:space="preserve"> również </w:t>
      </w:r>
      <w:r w:rsidR="000619FA">
        <w:t xml:space="preserve">może swobodnie wyrażać </w:t>
      </w:r>
      <w:r w:rsidR="00B67358">
        <w:t>swoje zdanie</w:t>
      </w:r>
      <w:r w:rsidR="00971A58">
        <w:t>.</w:t>
      </w:r>
    </w:p>
    <w:p w14:paraId="67431899" w14:textId="7EB70F6A" w:rsidR="00DA37E3" w:rsidRPr="00D149F4" w:rsidRDefault="00DA37E3" w:rsidP="00247F62">
      <w:pPr>
        <w:rPr>
          <w:b/>
          <w:bCs/>
        </w:rPr>
      </w:pPr>
      <w:r w:rsidRPr="00D149F4">
        <w:rPr>
          <w:b/>
          <w:bCs/>
        </w:rPr>
        <w:t xml:space="preserve">Prawo do poszanowania intymności </w:t>
      </w:r>
    </w:p>
    <w:p w14:paraId="4FD7496C" w14:textId="4D24294C" w:rsidR="00CC67DB" w:rsidRDefault="00D149F4" w:rsidP="00DA6D21">
      <w:pPr>
        <w:jc w:val="both"/>
      </w:pPr>
      <w:r>
        <w:t>P</w:t>
      </w:r>
      <w:r w:rsidRPr="00D149F4">
        <w:t>odczas wykonywania badań i zabiegów medycznych, związanych z leczeniem, pielęgnacją czy rehabilitacją</w:t>
      </w:r>
      <w:r w:rsidR="00DA6D21">
        <w:t xml:space="preserve"> obecny może być </w:t>
      </w:r>
      <w:r w:rsidRPr="00D149F4">
        <w:t>wyłącznie personel medyczny, któr</w:t>
      </w:r>
      <w:r w:rsidR="00971A58">
        <w:t>ego</w:t>
      </w:r>
      <w:r w:rsidRPr="00D149F4">
        <w:t xml:space="preserve"> pomoc i obecność jest konieczna</w:t>
      </w:r>
      <w:r>
        <w:t xml:space="preserve">. W przypadku </w:t>
      </w:r>
      <w:r w:rsidR="00DA6D21">
        <w:t>udziału</w:t>
      </w:r>
      <w:r>
        <w:t xml:space="preserve"> innych osób pacjent musi wyrazić na to zgodę. </w:t>
      </w:r>
      <w:r w:rsidR="00B918F4">
        <w:t xml:space="preserve">Jest to ważne szczególnie w przypadku pacjentów z otyłością, ponieważ mogą czuć się </w:t>
      </w:r>
      <w:r w:rsidR="00971A58">
        <w:t xml:space="preserve">dodatkowo </w:t>
      </w:r>
      <w:r w:rsidR="00B918F4">
        <w:t xml:space="preserve">skrępowani lub zawstydzeni. Prawo to pozwala na stworzenie </w:t>
      </w:r>
      <w:r w:rsidR="00971A58">
        <w:t xml:space="preserve">dla pacjentów </w:t>
      </w:r>
      <w:r w:rsidR="00B918F4">
        <w:t>bezpiecznej przestrzeni</w:t>
      </w:r>
      <w:r w:rsidR="007516FC">
        <w:t>.</w:t>
      </w:r>
      <w:r w:rsidR="00B918F4">
        <w:t xml:space="preserve"> </w:t>
      </w:r>
      <w:r w:rsidR="000619FA">
        <w:t xml:space="preserve">Studenci </w:t>
      </w:r>
      <w:r>
        <w:t>mają obowiązek poproszenia pacjenta o zgodę przed wykonaniem jakiegokolwiek badania, które będzie wymagało dotyku. Chory na otyłość ma prawo do zażąd</w:t>
      </w:r>
      <w:r w:rsidR="000619FA">
        <w:t>ania obecności osoby bliskiej w </w:t>
      </w:r>
      <w:r>
        <w:t xml:space="preserve">trakcie wykonywania zabiegów oraz badań medycznych.  </w:t>
      </w:r>
    </w:p>
    <w:p w14:paraId="7773806B" w14:textId="55AAD2B5" w:rsidR="000D7190" w:rsidRPr="00D149F4" w:rsidRDefault="00DA37E3" w:rsidP="00247F62">
      <w:pPr>
        <w:rPr>
          <w:b/>
          <w:bCs/>
        </w:rPr>
      </w:pPr>
      <w:r w:rsidRPr="00D149F4">
        <w:rPr>
          <w:b/>
          <w:bCs/>
        </w:rPr>
        <w:t>Prawo do dostępu oraz poszanowania tajemnicy dokumentacji medycznej</w:t>
      </w:r>
    </w:p>
    <w:p w14:paraId="5439AF8A" w14:textId="66278AB7" w:rsidR="00565227" w:rsidRPr="00565227" w:rsidRDefault="00D149F4" w:rsidP="00565227">
      <w:pPr>
        <w:jc w:val="both"/>
      </w:pPr>
      <w:r>
        <w:t xml:space="preserve">Prawo zakazuje wszelkich przejawów naruszania godności pacjenta i zachowań dyskryminacyjnych względem niego. W szczególności przedmiotowego traktowania, lekceważenia zdania pacjenta, spowodowania u chorego poczucia przygnębienia, lęku, niższości lub poniżenia i braku życzliwości lub wyrozumiałości. </w:t>
      </w:r>
    </w:p>
    <w:p w14:paraId="1E34FB8D" w14:textId="69859A8D" w:rsidR="000619FA" w:rsidRDefault="00333005" w:rsidP="00565227">
      <w:pPr>
        <w:jc w:val="both"/>
        <w:rPr>
          <w:b/>
          <w:bCs/>
        </w:rPr>
      </w:pPr>
      <w:r>
        <w:rPr>
          <w:i/>
          <w:iCs/>
        </w:rPr>
        <w:t>C</w:t>
      </w:r>
      <w:r w:rsidR="00565227" w:rsidRPr="00565227">
        <w:rPr>
          <w:i/>
          <w:iCs/>
        </w:rPr>
        <w:t>zęstość występowania choroby otyłościowej</w:t>
      </w:r>
      <w:r w:rsidR="00222CB8">
        <w:rPr>
          <w:i/>
          <w:iCs/>
        </w:rPr>
        <w:t>,</w:t>
      </w:r>
      <w:r w:rsidR="00B853D2">
        <w:rPr>
          <w:i/>
          <w:iCs/>
        </w:rPr>
        <w:t xml:space="preserve"> </w:t>
      </w:r>
      <w:r w:rsidR="00565227" w:rsidRPr="00565227">
        <w:rPr>
          <w:i/>
          <w:iCs/>
        </w:rPr>
        <w:t>jej niekorzystny wpływ na rozwój i przebieg innych chorób – powikłań otyłości  powoduj</w:t>
      </w:r>
      <w:r w:rsidR="0084584A">
        <w:rPr>
          <w:i/>
          <w:iCs/>
        </w:rPr>
        <w:t>ą</w:t>
      </w:r>
      <w:r w:rsidR="00565227" w:rsidRPr="00565227">
        <w:rPr>
          <w:i/>
          <w:iCs/>
        </w:rPr>
        <w:t>, że chorzy na otyłość są bardzo liczną grupą odbiorców usług medycznych.</w:t>
      </w:r>
      <w:r w:rsidR="003D6817">
        <w:rPr>
          <w:i/>
          <w:iCs/>
        </w:rPr>
        <w:t xml:space="preserve"> </w:t>
      </w:r>
      <w:r w:rsidR="00565227" w:rsidRPr="00565227">
        <w:rPr>
          <w:i/>
          <w:iCs/>
        </w:rPr>
        <w:t xml:space="preserve">Przygotowując dokument „Karta Praw Chorego </w:t>
      </w:r>
      <w:r>
        <w:rPr>
          <w:i/>
          <w:iCs/>
        </w:rPr>
        <w:t>n</w:t>
      </w:r>
      <w:r w:rsidR="00565227" w:rsidRPr="00565227">
        <w:rPr>
          <w:i/>
          <w:iCs/>
        </w:rPr>
        <w:t xml:space="preserve">a Otyłość” naszym celem było </w:t>
      </w:r>
      <w:r w:rsidR="003D6817">
        <w:rPr>
          <w:i/>
          <w:iCs/>
        </w:rPr>
        <w:t xml:space="preserve">wyodrębnienie istniejących praw i zestawienie </w:t>
      </w:r>
      <w:r w:rsidR="0053509F">
        <w:rPr>
          <w:i/>
          <w:iCs/>
        </w:rPr>
        <w:t xml:space="preserve">ich </w:t>
      </w:r>
      <w:r w:rsidR="003D6817">
        <w:rPr>
          <w:i/>
          <w:iCs/>
        </w:rPr>
        <w:t xml:space="preserve">w kontekście opieki nad pacjentem chorującym na otyłość. Jest to dopiero początek </w:t>
      </w:r>
      <w:r w:rsidR="002E77B5">
        <w:rPr>
          <w:i/>
          <w:iCs/>
        </w:rPr>
        <w:t>drogi</w:t>
      </w:r>
      <w:r w:rsidR="003D6817">
        <w:rPr>
          <w:i/>
          <w:iCs/>
        </w:rPr>
        <w:t xml:space="preserve"> ku </w:t>
      </w:r>
      <w:r w:rsidR="0084584A">
        <w:rPr>
          <w:i/>
          <w:iCs/>
        </w:rPr>
        <w:t>kształtowaniu</w:t>
      </w:r>
      <w:r w:rsidR="003D6817">
        <w:rPr>
          <w:i/>
          <w:iCs/>
        </w:rPr>
        <w:t xml:space="preserve"> systemu opieki medycznej nad chorymi z otyłością</w:t>
      </w:r>
      <w:r w:rsidR="00621969">
        <w:rPr>
          <w:i/>
          <w:iCs/>
        </w:rPr>
        <w:t xml:space="preserve"> opartego na szacunku</w:t>
      </w:r>
      <w:r w:rsidR="0043591E">
        <w:rPr>
          <w:i/>
          <w:iCs/>
        </w:rPr>
        <w:t xml:space="preserve"> i uznania otyłości jako choroby</w:t>
      </w:r>
      <w:r w:rsidR="003D6817">
        <w:rPr>
          <w:i/>
          <w:iCs/>
        </w:rPr>
        <w:t>. Karta jest modelowym zestawieniem praw, który mam nadzieję</w:t>
      </w:r>
      <w:r w:rsidR="00EA4633">
        <w:rPr>
          <w:i/>
          <w:iCs/>
        </w:rPr>
        <w:t>,</w:t>
      </w:r>
      <w:r w:rsidR="003D6817">
        <w:rPr>
          <w:i/>
          <w:iCs/>
        </w:rPr>
        <w:t xml:space="preserve"> w niedalekiej przyszłości zostanie rozszerzony o kolejne elementy. Zdecydowanie pozostało jeszcze wiele pracy przed nami, ale </w:t>
      </w:r>
      <w:r w:rsidR="006651F6">
        <w:rPr>
          <w:i/>
          <w:iCs/>
        </w:rPr>
        <w:t>powoli</w:t>
      </w:r>
      <w:r w:rsidR="003D6817">
        <w:rPr>
          <w:i/>
          <w:iCs/>
        </w:rPr>
        <w:t xml:space="preserve"> zbliżamy się do celu</w:t>
      </w:r>
      <w:r w:rsidR="00565227" w:rsidRPr="00565227">
        <w:rPr>
          <w:i/>
          <w:iCs/>
        </w:rPr>
        <w:t>.</w:t>
      </w:r>
      <w:r w:rsidR="00565227" w:rsidRPr="00565227">
        <w:t xml:space="preserve"> </w:t>
      </w:r>
      <w:r w:rsidR="00565227">
        <w:t xml:space="preserve">– </w:t>
      </w:r>
      <w:r w:rsidR="00565227" w:rsidRPr="00565227">
        <w:rPr>
          <w:b/>
          <w:bCs/>
        </w:rPr>
        <w:t>komentuje prof. dr hab. n. med. Paweł Bogdański, Prezes Polskiego Towarzystwa Leczenia Otyłości</w:t>
      </w:r>
      <w:r w:rsidR="00565227">
        <w:rPr>
          <w:b/>
          <w:bCs/>
        </w:rPr>
        <w:t>.</w:t>
      </w:r>
      <w:r w:rsidR="0087644F">
        <w:rPr>
          <w:b/>
          <w:bCs/>
        </w:rPr>
        <w:br/>
      </w:r>
    </w:p>
    <w:p w14:paraId="54DA6F87" w14:textId="44215400" w:rsidR="00247F62" w:rsidRPr="00081BFF" w:rsidRDefault="00DD52EE" w:rsidP="00247F62">
      <w:pPr>
        <w:jc w:val="both"/>
        <w:rPr>
          <w:rFonts w:eastAsia="Times New Roman" w:cstheme="minorHAnsi"/>
          <w:color w:val="111111"/>
          <w:sz w:val="20"/>
          <w:szCs w:val="20"/>
          <w:u w:val="single"/>
        </w:rPr>
      </w:pPr>
      <w:bookmarkStart w:id="0" w:name="_Hlk128649856"/>
      <w:r>
        <w:t xml:space="preserve">Zapraszamy do odwiedzenia strony </w:t>
      </w:r>
      <w:hyperlink r:id="rId8" w:history="1">
        <w:r w:rsidRPr="0087644F">
          <w:rPr>
            <w:rStyle w:val="Hipercze"/>
          </w:rPr>
          <w:t>ootylosci.pl</w:t>
        </w:r>
      </w:hyperlink>
      <w:r>
        <w:t xml:space="preserve">, gdzie </w:t>
      </w:r>
      <w:r w:rsidR="0087644F">
        <w:t>został</w:t>
      </w:r>
      <w:r w:rsidR="001D2D29">
        <w:t>a</w:t>
      </w:r>
      <w:r w:rsidR="0087644F">
        <w:t xml:space="preserve"> zamieszczona</w:t>
      </w:r>
      <w:r>
        <w:t xml:space="preserve"> pełna wersja dokumentu „Karta Praw Chorego na Otyłość”.</w:t>
      </w:r>
      <w:bookmarkEnd w:id="0"/>
      <w:r w:rsidR="0087644F">
        <w:br/>
      </w:r>
      <w:r w:rsidR="0087644F">
        <w:rPr>
          <w:rFonts w:eastAsia="Times New Roman" w:cstheme="minorHAnsi"/>
          <w:color w:val="111111"/>
          <w:sz w:val="20"/>
          <w:szCs w:val="20"/>
          <w:u w:val="single"/>
        </w:rPr>
        <w:br/>
      </w:r>
      <w:r w:rsidR="0087644F">
        <w:rPr>
          <w:rFonts w:eastAsia="Times New Roman" w:cstheme="minorHAnsi"/>
          <w:color w:val="111111"/>
          <w:sz w:val="20"/>
          <w:szCs w:val="20"/>
          <w:u w:val="single"/>
        </w:rPr>
        <w:br/>
      </w:r>
      <w:r w:rsidR="00247F62" w:rsidRPr="00081BFF">
        <w:rPr>
          <w:rFonts w:eastAsia="Times New Roman" w:cstheme="minorHAnsi"/>
          <w:color w:val="111111"/>
          <w:sz w:val="20"/>
          <w:szCs w:val="20"/>
          <w:u w:val="single"/>
        </w:rPr>
        <w:t>Informacje o kampanii:</w:t>
      </w:r>
    </w:p>
    <w:p w14:paraId="5AF580FB" w14:textId="482973F3" w:rsidR="00247F62" w:rsidRPr="0095399E" w:rsidRDefault="00247F62" w:rsidP="00247F62">
      <w:pPr>
        <w:jc w:val="both"/>
        <w:rPr>
          <w:rFonts w:cstheme="minorHAnsi"/>
          <w:bCs/>
          <w:sz w:val="18"/>
          <w:szCs w:val="18"/>
        </w:rPr>
      </w:pPr>
      <w:r w:rsidRPr="0095399E">
        <w:rPr>
          <w:rFonts w:cstheme="minorHAnsi"/>
          <w:bCs/>
          <w:sz w:val="18"/>
          <w:szCs w:val="18"/>
        </w:rPr>
        <w:t>Celem kampanii „Porozmawiajmy szczerze o otyłości” jest budowanie społecznej świadomości, że otyłość jest chorobą, którą należy leczyć. Inicjatorem kampanii jest Polskie Towarzystwo Leczenia Otyłości (PTLO), a </w:t>
      </w:r>
      <w:r>
        <w:rPr>
          <w:rFonts w:cstheme="minorHAnsi"/>
          <w:bCs/>
          <w:sz w:val="18"/>
          <w:szCs w:val="18"/>
        </w:rPr>
        <w:t>mecenasem firma Novo Nordisk. W </w:t>
      </w:r>
      <w:r w:rsidRPr="0095399E">
        <w:rPr>
          <w:rFonts w:cstheme="minorHAnsi"/>
          <w:bCs/>
          <w:sz w:val="18"/>
          <w:szCs w:val="18"/>
        </w:rPr>
        <w:t xml:space="preserve">czerwcu 2022 ruszyła 3. edycja kampanii. W ramach inicjatywy realizowane </w:t>
      </w:r>
      <w:r w:rsidR="0006358C">
        <w:rPr>
          <w:rFonts w:cstheme="minorHAnsi"/>
          <w:bCs/>
          <w:sz w:val="18"/>
          <w:szCs w:val="18"/>
        </w:rPr>
        <w:t xml:space="preserve">są </w:t>
      </w:r>
      <w:r>
        <w:rPr>
          <w:rFonts w:cstheme="minorHAnsi"/>
          <w:bCs/>
          <w:sz w:val="18"/>
          <w:szCs w:val="18"/>
        </w:rPr>
        <w:t>działania komunikacyjne o </w:t>
      </w:r>
      <w:r w:rsidRPr="0095399E">
        <w:rPr>
          <w:rFonts w:cstheme="minorHAnsi"/>
          <w:bCs/>
          <w:sz w:val="18"/>
          <w:szCs w:val="18"/>
        </w:rPr>
        <w:t>charakterze edukacyjnym, zarówno wystawa zdjęć Bohaterów kampanii, jak i szeroko zakrojone działania w przestrzeni digitalowej. Aktualizowana będzie również strona internetowa www.ootylosci.pl, która jest cennym źródłem informacji i wsparcia dla osób dotkniętych tą chorobą. Zaplanowane zostały również działania w mediach społecznościowych, nagranie spotu radiowego, współpraca z influencerami oraz cykl edukacyjnych podcastów dotyczących otyłości.</w:t>
      </w:r>
    </w:p>
    <w:p w14:paraId="1957CE9D" w14:textId="249C8FD6" w:rsidR="00247F62" w:rsidRPr="0087644F" w:rsidRDefault="00247F62" w:rsidP="0087644F">
      <w:pPr>
        <w:jc w:val="both"/>
        <w:rPr>
          <w:rFonts w:eastAsia="Times New Roman" w:cstheme="minorHAnsi"/>
          <w:color w:val="111111"/>
          <w:sz w:val="18"/>
          <w:szCs w:val="18"/>
        </w:rPr>
      </w:pPr>
      <w:r w:rsidRPr="0095399E">
        <w:rPr>
          <w:rFonts w:cstheme="minorHAnsi"/>
          <w:bCs/>
          <w:sz w:val="18"/>
          <w:szCs w:val="18"/>
        </w:rPr>
        <w:t xml:space="preserve">Partnerami kampanii są: Instytut Praw Pacjenta i Edukacji Zdrowotnej, Polskie Towarzystwo Medycyny Rodzinnej, </w:t>
      </w:r>
      <w:r>
        <w:rPr>
          <w:rFonts w:cstheme="minorHAnsi"/>
          <w:bCs/>
          <w:sz w:val="18"/>
          <w:szCs w:val="18"/>
        </w:rPr>
        <w:t xml:space="preserve">Polskie Towarzystwo Medycyny Stylu Życia, </w:t>
      </w:r>
      <w:r w:rsidRPr="0095399E">
        <w:rPr>
          <w:rFonts w:cstheme="minorHAnsi"/>
          <w:bCs/>
          <w:sz w:val="18"/>
          <w:szCs w:val="18"/>
        </w:rPr>
        <w:t>Polskie Towarzystwo Kardiologiczne, Polskie Towarzystwo Lipidologiczne, Polskie Towarzystwo Nadciśnienia Tętniczego, Polskie Towarzystwo Ginekologów i Położników, Polskie Towarzystwo Zdrowia Publicznego, Polskie Towarzystwo Farmakoekonomiczne. Patronat nad kampanią objął Zakład Ubezpieczeń Społecznych</w:t>
      </w:r>
      <w:r w:rsidR="0087644F">
        <w:rPr>
          <w:rFonts w:cstheme="minorHAnsi"/>
          <w:bCs/>
          <w:sz w:val="18"/>
          <w:szCs w:val="18"/>
        </w:rPr>
        <w:t>.</w:t>
      </w:r>
    </w:p>
    <w:sectPr w:rsidR="00247F62" w:rsidRPr="0087644F" w:rsidSect="00714E9D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8CFC" w14:textId="77777777" w:rsidR="007927DE" w:rsidRDefault="007927DE">
      <w:pPr>
        <w:spacing w:after="0" w:line="240" w:lineRule="auto"/>
      </w:pPr>
      <w:r>
        <w:separator/>
      </w:r>
    </w:p>
  </w:endnote>
  <w:endnote w:type="continuationSeparator" w:id="0">
    <w:p w14:paraId="3161E117" w14:textId="77777777" w:rsidR="007927DE" w:rsidRDefault="007927DE">
      <w:pPr>
        <w:spacing w:after="0" w:line="240" w:lineRule="auto"/>
      </w:pPr>
      <w:r>
        <w:continuationSeparator/>
      </w:r>
    </w:p>
  </w:endnote>
  <w:endnote w:type="continuationNotice" w:id="1">
    <w:p w14:paraId="43DF8D98" w14:textId="77777777" w:rsidR="007927DE" w:rsidRDefault="007927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90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851"/>
      <w:gridCol w:w="1559"/>
      <w:gridCol w:w="1559"/>
      <w:gridCol w:w="709"/>
      <w:gridCol w:w="992"/>
      <w:gridCol w:w="709"/>
      <w:gridCol w:w="1013"/>
      <w:gridCol w:w="853"/>
      <w:gridCol w:w="852"/>
    </w:tblGrid>
    <w:tr w:rsidR="00A803E7" w14:paraId="308CA7A1" w14:textId="77777777" w:rsidTr="00A803E7">
      <w:trPr>
        <w:trHeight w:val="301"/>
      </w:trPr>
      <w:tc>
        <w:tcPr>
          <w:tcW w:w="993" w:type="dxa"/>
          <w:vAlign w:val="center"/>
        </w:tcPr>
        <w:p w14:paraId="07BFD43E" w14:textId="3E02C952" w:rsidR="00040937" w:rsidRDefault="00BC0E2F" w:rsidP="00040937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F07987B" wp14:editId="504F9663">
                <wp:simplePos x="0" y="0"/>
                <wp:positionH relativeFrom="column">
                  <wp:posOffset>-157480</wp:posOffset>
                </wp:positionH>
                <wp:positionV relativeFrom="paragraph">
                  <wp:posOffset>24765</wp:posOffset>
                </wp:positionV>
                <wp:extent cx="565150" cy="320040"/>
                <wp:effectExtent l="0" t="0" r="6350" b="381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1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1" w:type="dxa"/>
          <w:vAlign w:val="center"/>
        </w:tcPr>
        <w:p w14:paraId="653E072B" w14:textId="61C1D5F7" w:rsidR="00040937" w:rsidRDefault="00D13A81" w:rsidP="00D13A81"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4CD6D7FF" wp14:editId="7EBBCA8B">
                <wp:simplePos x="0" y="0"/>
                <wp:positionH relativeFrom="column">
                  <wp:posOffset>-65405</wp:posOffset>
                </wp:positionH>
                <wp:positionV relativeFrom="paragraph">
                  <wp:posOffset>19685</wp:posOffset>
                </wp:positionV>
                <wp:extent cx="795020" cy="269875"/>
                <wp:effectExtent l="0" t="0" r="5080" b="0"/>
                <wp:wrapNone/>
                <wp:docPr id="17" name="Picture 17" descr="IPPEZ - Instytut Praw Pacjenta i Edukacji Zdrowot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IPPEZ - Instytut Praw Pacjenta i Edukacji Zdrowotn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  <w:vAlign w:val="center"/>
        </w:tcPr>
        <w:p w14:paraId="17A5E2C0" w14:textId="37028B7F" w:rsidR="00040937" w:rsidRDefault="00D13A81" w:rsidP="00040937">
          <w:pPr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2575BED8" wp14:editId="68B863C4">
                <wp:simplePos x="0" y="0"/>
                <wp:positionH relativeFrom="column">
                  <wp:posOffset>306705</wp:posOffset>
                </wp:positionH>
                <wp:positionV relativeFrom="paragraph">
                  <wp:posOffset>37465</wp:posOffset>
                </wp:positionV>
                <wp:extent cx="852805" cy="29019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  <w:vAlign w:val="center"/>
        </w:tcPr>
        <w:p w14:paraId="51F8A954" w14:textId="32BDD0DD" w:rsidR="00040937" w:rsidRDefault="00BC0E2F" w:rsidP="00040937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7938A08" wp14:editId="6898453E">
                <wp:simplePos x="0" y="0"/>
                <wp:positionH relativeFrom="column">
                  <wp:posOffset>220345</wp:posOffset>
                </wp:positionH>
                <wp:positionV relativeFrom="paragraph">
                  <wp:posOffset>-6985</wp:posOffset>
                </wp:positionV>
                <wp:extent cx="900430" cy="256540"/>
                <wp:effectExtent l="0" t="0" r="0" b="0"/>
                <wp:wrapNone/>
                <wp:docPr id="24" name="Picture 24" descr="Archiwa: geriatria - Polskie Towarzystwo Medycyny Rodzin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Archiwa: geriatria - Polskie Towarzystwo Medycyny Rodzinn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3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9" w:type="dxa"/>
          <w:vAlign w:val="center"/>
        </w:tcPr>
        <w:p w14:paraId="4B84E397" w14:textId="34C146B4" w:rsidR="00040937" w:rsidRDefault="00040937" w:rsidP="00040937">
          <w:pPr>
            <w:jc w:val="center"/>
          </w:pPr>
        </w:p>
      </w:tc>
      <w:tc>
        <w:tcPr>
          <w:tcW w:w="992" w:type="dxa"/>
          <w:vAlign w:val="center"/>
        </w:tcPr>
        <w:p w14:paraId="441BFD29" w14:textId="1478CA7E" w:rsidR="00040937" w:rsidRDefault="00D13A81" w:rsidP="00040937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189FED73" wp14:editId="6DAEF41F">
                <wp:simplePos x="0" y="0"/>
                <wp:positionH relativeFrom="column">
                  <wp:posOffset>257175</wp:posOffset>
                </wp:positionH>
                <wp:positionV relativeFrom="paragraph">
                  <wp:posOffset>74295</wp:posOffset>
                </wp:positionV>
                <wp:extent cx="313690" cy="302260"/>
                <wp:effectExtent l="0" t="0" r="0" b="254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9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C0E2F"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32C1CF11" wp14:editId="00FD957C">
                <wp:simplePos x="0" y="0"/>
                <wp:positionH relativeFrom="column">
                  <wp:posOffset>-205105</wp:posOffset>
                </wp:positionH>
                <wp:positionV relativeFrom="paragraph">
                  <wp:posOffset>49530</wp:posOffset>
                </wp:positionV>
                <wp:extent cx="327025" cy="327025"/>
                <wp:effectExtent l="0" t="0" r="0" b="0"/>
                <wp:wrapNone/>
                <wp:docPr id="25" name="Picture 25" descr="Polskie Towarzystwo Kardiologiczne (@PTKardio) / 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skie Towarzystwo Kardiologiczne (@PTKardio) / 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0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9" w:type="dxa"/>
          <w:vAlign w:val="center"/>
        </w:tcPr>
        <w:p w14:paraId="00CBD78E" w14:textId="78201936" w:rsidR="00040937" w:rsidRDefault="00D13A81" w:rsidP="00040937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214813CC" wp14:editId="598E1EEA">
                <wp:simplePos x="0" y="0"/>
                <wp:positionH relativeFrom="column">
                  <wp:posOffset>92075</wp:posOffset>
                </wp:positionH>
                <wp:positionV relativeFrom="paragraph">
                  <wp:posOffset>52070</wp:posOffset>
                </wp:positionV>
                <wp:extent cx="313690" cy="313690"/>
                <wp:effectExtent l="0" t="0" r="0" b="0"/>
                <wp:wrapNone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13" w:type="dxa"/>
          <w:vAlign w:val="center"/>
        </w:tcPr>
        <w:p w14:paraId="271904E8" w14:textId="305997C4" w:rsidR="00040937" w:rsidRDefault="00040937" w:rsidP="0004093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B38A258" wp14:editId="0200D9BF">
                <wp:extent cx="463967" cy="463967"/>
                <wp:effectExtent l="0" t="0" r="0" b="0"/>
                <wp:docPr id="27" name="Picture 27" descr="Polskie Towarzystwo Zdrowia Publicznego dołącza do #WeźSięZbadaj -  WeźSięZbada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lskie Towarzystwo Zdrowia Publicznego dołącza do #WeźSięZbadaj -  WeźSięZbada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629" cy="476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" w:type="dxa"/>
          <w:vAlign w:val="center"/>
        </w:tcPr>
        <w:p w14:paraId="05DDF31B" w14:textId="2248CCB4" w:rsidR="00040937" w:rsidRDefault="00040937" w:rsidP="0004093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EEB63CE" wp14:editId="3C5C21DE">
                <wp:extent cx="408940" cy="383548"/>
                <wp:effectExtent l="0" t="0" r="0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901" cy="412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" w:type="dxa"/>
          <w:vAlign w:val="center"/>
        </w:tcPr>
        <w:p w14:paraId="2EC401FA" w14:textId="233C573D" w:rsidR="00040937" w:rsidRDefault="00040937" w:rsidP="0004093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27CDA50" wp14:editId="32FB51AF">
                <wp:extent cx="333922" cy="247650"/>
                <wp:effectExtent l="0" t="0" r="9525" b="0"/>
                <wp:docPr id="22" name="Picture 22" descr="Tarcza Antykryzysowa – wsparcie z ZUS - Gmina Woło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arcza Antykryzysowa – wsparcie z ZUS - Gmina Woło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9" cy="277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7372E0" w14:textId="04CF837D" w:rsidR="00714E9D" w:rsidRPr="00040937" w:rsidRDefault="00A803E7" w:rsidP="0004093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06A19EB" wp14:editId="27F410E7">
          <wp:simplePos x="0" y="0"/>
          <wp:positionH relativeFrom="column">
            <wp:posOffset>5862955</wp:posOffset>
          </wp:positionH>
          <wp:positionV relativeFrom="paragraph">
            <wp:posOffset>-428625</wp:posOffset>
          </wp:positionV>
          <wp:extent cx="585470" cy="353695"/>
          <wp:effectExtent l="0" t="0" r="508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D7B2" w14:textId="77777777" w:rsidR="007927DE" w:rsidRDefault="007927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A8F65D" w14:textId="77777777" w:rsidR="007927DE" w:rsidRDefault="007927DE">
      <w:pPr>
        <w:spacing w:after="0" w:line="240" w:lineRule="auto"/>
      </w:pPr>
      <w:r>
        <w:continuationSeparator/>
      </w:r>
    </w:p>
  </w:footnote>
  <w:footnote w:type="continuationNotice" w:id="1">
    <w:p w14:paraId="1C6B0B6F" w14:textId="77777777" w:rsidR="007927DE" w:rsidRDefault="007927DE">
      <w:pPr>
        <w:spacing w:after="0" w:line="240" w:lineRule="auto"/>
      </w:pPr>
    </w:p>
  </w:footnote>
  <w:footnote w:id="2">
    <w:p w14:paraId="473243B3" w14:textId="633932B4" w:rsidR="00B853D2" w:rsidRPr="004B4029" w:rsidRDefault="00B853D2">
      <w:pPr>
        <w:pStyle w:val="Tekstprzypisudolnego"/>
        <w:rPr>
          <w:sz w:val="16"/>
          <w:szCs w:val="16"/>
          <w:lang w:val="en-US"/>
        </w:rPr>
      </w:pPr>
      <w:r>
        <w:rPr>
          <w:rStyle w:val="Odwoanieprzypisudolnego"/>
        </w:rPr>
        <w:footnoteRef/>
      </w:r>
      <w:r w:rsidRPr="00B853D2">
        <w:rPr>
          <w:lang w:val="en-US"/>
        </w:rPr>
        <w:t xml:space="preserve"> </w:t>
      </w:r>
      <w:hyperlink r:id="rId1" w:history="1">
        <w:r w:rsidR="004B4029" w:rsidRPr="004B4029">
          <w:rPr>
            <w:rStyle w:val="Hipercze"/>
            <w:sz w:val="16"/>
            <w:szCs w:val="16"/>
            <w:lang w:val="en-US"/>
          </w:rPr>
          <w:t>World Obesity Day 4 March 2023 | World Obesity Federation</w:t>
        </w:r>
      </w:hyperlink>
    </w:p>
  </w:footnote>
  <w:footnote w:id="3">
    <w:p w14:paraId="1E5B42A6" w14:textId="77777777" w:rsidR="00B21CD4" w:rsidRDefault="00B21CD4" w:rsidP="00B21C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53D2">
        <w:rPr>
          <w:sz w:val="16"/>
          <w:szCs w:val="16"/>
        </w:rPr>
        <w:t xml:space="preserve">Badanie opinii zrealizowane w ramach kampanii „Porozmawiajmy szczerze o otyłości” w dn. 8-18.02.2022 </w:t>
      </w:r>
      <w:r>
        <w:rPr>
          <w:sz w:val="16"/>
          <w:szCs w:val="16"/>
        </w:rPr>
        <w:t xml:space="preserve">r. </w:t>
      </w:r>
      <w:r w:rsidRPr="006553D2">
        <w:rPr>
          <w:sz w:val="16"/>
          <w:szCs w:val="16"/>
        </w:rPr>
        <w:t>przez agencję badawczą SW Research. W ramach pierwszego etapu badania przeprowadzono 1007 ankiet z reprezentatywną próbą Polek i Polaków. W etapie drugim przeprowadzono 329 ankiet z osobami z otyłością.</w:t>
      </w:r>
    </w:p>
    <w:p w14:paraId="2E18AEC0" w14:textId="77777777" w:rsidR="00B21CD4" w:rsidRDefault="00B21CD4" w:rsidP="00B21CD4">
      <w:pPr>
        <w:pStyle w:val="Tekstprzypisudolnego"/>
      </w:pPr>
    </w:p>
  </w:footnote>
  <w:footnote w:id="4">
    <w:p w14:paraId="03F4CA6E" w14:textId="77777777" w:rsidR="00B21CD4" w:rsidRDefault="00B21CD4" w:rsidP="00B21C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37B1">
        <w:rPr>
          <w:sz w:val="16"/>
          <w:szCs w:val="16"/>
        </w:rPr>
        <w:t>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BB7F" w14:textId="18C18569" w:rsidR="00487714" w:rsidRDefault="00487714" w:rsidP="003617E9">
    <w:pPr>
      <w:pStyle w:val="Nagwek"/>
      <w:jc w:val="right"/>
    </w:pPr>
    <w:r>
      <w:rPr>
        <w:noProof/>
        <w:lang w:eastAsia="pl-PL"/>
      </w:rPr>
      <w:t xml:space="preserve">     </w:t>
    </w:r>
    <w:r w:rsidRPr="004E2365">
      <w:t xml:space="preserve"> </w:t>
    </w:r>
    <w:r>
      <w:t xml:space="preserve">  </w:t>
    </w:r>
    <w:r>
      <w:rPr>
        <w:noProof/>
        <w:lang w:eastAsia="pl-PL"/>
      </w:rPr>
      <w:drawing>
        <wp:inline distT="0" distB="0" distL="0" distR="0" wp14:anchorId="7E135E97" wp14:editId="3084A560">
          <wp:extent cx="617220" cy="617220"/>
          <wp:effectExtent l="0" t="0" r="0" b="0"/>
          <wp:docPr id="2" name="Picture 2" descr="logo_PSoO_NOWE_zielone_samo_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SoO_NOWE_zielone_samo_K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A6453" w14:textId="6A32CD4F" w:rsidR="00487714" w:rsidRPr="004E2365" w:rsidRDefault="00487714" w:rsidP="003617E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49C"/>
    <w:multiLevelType w:val="hybridMultilevel"/>
    <w:tmpl w:val="F2C06E36"/>
    <w:lvl w:ilvl="0" w:tplc="6506F1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EB9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AF5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80B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0C5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F24F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E36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E12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D0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3B82"/>
    <w:multiLevelType w:val="multilevel"/>
    <w:tmpl w:val="758E373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82E52D1"/>
    <w:multiLevelType w:val="hybridMultilevel"/>
    <w:tmpl w:val="C9008D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D205A6"/>
    <w:multiLevelType w:val="hybridMultilevel"/>
    <w:tmpl w:val="DE3C20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E7D341E"/>
    <w:multiLevelType w:val="hybridMultilevel"/>
    <w:tmpl w:val="34BC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4D3"/>
    <w:multiLevelType w:val="hybridMultilevel"/>
    <w:tmpl w:val="156AE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72828"/>
    <w:multiLevelType w:val="hybridMultilevel"/>
    <w:tmpl w:val="A72A69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AC271E"/>
    <w:multiLevelType w:val="hybridMultilevel"/>
    <w:tmpl w:val="99A4A974"/>
    <w:lvl w:ilvl="0" w:tplc="B624FD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9B1CF2"/>
    <w:multiLevelType w:val="hybridMultilevel"/>
    <w:tmpl w:val="27F064E6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534D7746"/>
    <w:multiLevelType w:val="hybridMultilevel"/>
    <w:tmpl w:val="01B48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9346F6"/>
    <w:multiLevelType w:val="hybridMultilevel"/>
    <w:tmpl w:val="99A4A974"/>
    <w:lvl w:ilvl="0" w:tplc="B624FD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C57925"/>
    <w:multiLevelType w:val="hybridMultilevel"/>
    <w:tmpl w:val="AAD89BCA"/>
    <w:lvl w:ilvl="0" w:tplc="FDF06D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837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2F4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CA1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63D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20A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49D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8F3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AF3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455B8"/>
    <w:multiLevelType w:val="multilevel"/>
    <w:tmpl w:val="609222F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3" w15:restartNumberingAfterBreak="0">
    <w:nsid w:val="70FA7DC8"/>
    <w:multiLevelType w:val="hybridMultilevel"/>
    <w:tmpl w:val="7206EA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A34BF5"/>
    <w:multiLevelType w:val="hybridMultilevel"/>
    <w:tmpl w:val="6714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D29D0"/>
    <w:multiLevelType w:val="hybridMultilevel"/>
    <w:tmpl w:val="7FF0A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34E1E"/>
    <w:multiLevelType w:val="hybridMultilevel"/>
    <w:tmpl w:val="2BCC85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601573">
    <w:abstractNumId w:val="1"/>
  </w:num>
  <w:num w:numId="2" w16cid:durableId="874120018">
    <w:abstractNumId w:val="12"/>
  </w:num>
  <w:num w:numId="3" w16cid:durableId="94909022">
    <w:abstractNumId w:val="6"/>
  </w:num>
  <w:num w:numId="4" w16cid:durableId="1463188841">
    <w:abstractNumId w:val="16"/>
  </w:num>
  <w:num w:numId="5" w16cid:durableId="1076517699">
    <w:abstractNumId w:val="13"/>
  </w:num>
  <w:num w:numId="6" w16cid:durableId="1103303246">
    <w:abstractNumId w:val="2"/>
  </w:num>
  <w:num w:numId="7" w16cid:durableId="1231965199">
    <w:abstractNumId w:val="7"/>
  </w:num>
  <w:num w:numId="8" w16cid:durableId="725835071">
    <w:abstractNumId w:val="10"/>
  </w:num>
  <w:num w:numId="9" w16cid:durableId="1157266333">
    <w:abstractNumId w:val="5"/>
  </w:num>
  <w:num w:numId="10" w16cid:durableId="2002345615">
    <w:abstractNumId w:val="4"/>
  </w:num>
  <w:num w:numId="11" w16cid:durableId="196964966">
    <w:abstractNumId w:val="9"/>
  </w:num>
  <w:num w:numId="12" w16cid:durableId="1884366943">
    <w:abstractNumId w:val="8"/>
  </w:num>
  <w:num w:numId="13" w16cid:durableId="1155879197">
    <w:abstractNumId w:val="0"/>
  </w:num>
  <w:num w:numId="14" w16cid:durableId="1772123668">
    <w:abstractNumId w:val="3"/>
  </w:num>
  <w:num w:numId="15" w16cid:durableId="1281913496">
    <w:abstractNumId w:val="15"/>
  </w:num>
  <w:num w:numId="16" w16cid:durableId="900866234">
    <w:abstractNumId w:val="11"/>
  </w:num>
  <w:num w:numId="17" w16cid:durableId="20600869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1A"/>
    <w:rsid w:val="000035B2"/>
    <w:rsid w:val="000055E7"/>
    <w:rsid w:val="000069CA"/>
    <w:rsid w:val="0000788D"/>
    <w:rsid w:val="00013E5B"/>
    <w:rsid w:val="000147BC"/>
    <w:rsid w:val="000213B8"/>
    <w:rsid w:val="000222D1"/>
    <w:rsid w:val="0002663E"/>
    <w:rsid w:val="0002751A"/>
    <w:rsid w:val="00032A7C"/>
    <w:rsid w:val="00040937"/>
    <w:rsid w:val="0004169C"/>
    <w:rsid w:val="00052FC5"/>
    <w:rsid w:val="000533CD"/>
    <w:rsid w:val="000619FA"/>
    <w:rsid w:val="0006358C"/>
    <w:rsid w:val="000677E8"/>
    <w:rsid w:val="00072D73"/>
    <w:rsid w:val="00082622"/>
    <w:rsid w:val="000834E7"/>
    <w:rsid w:val="0008666B"/>
    <w:rsid w:val="000913E1"/>
    <w:rsid w:val="0009392E"/>
    <w:rsid w:val="00095B6D"/>
    <w:rsid w:val="00097047"/>
    <w:rsid w:val="000A1BC9"/>
    <w:rsid w:val="000A7078"/>
    <w:rsid w:val="000B46CF"/>
    <w:rsid w:val="000B7BED"/>
    <w:rsid w:val="000D251F"/>
    <w:rsid w:val="000D3645"/>
    <w:rsid w:val="000D4C94"/>
    <w:rsid w:val="000D4D41"/>
    <w:rsid w:val="000D63D5"/>
    <w:rsid w:val="000D67CF"/>
    <w:rsid w:val="000D7190"/>
    <w:rsid w:val="000E163F"/>
    <w:rsid w:val="000E373A"/>
    <w:rsid w:val="000F08F5"/>
    <w:rsid w:val="000F0C28"/>
    <w:rsid w:val="000F38EF"/>
    <w:rsid w:val="000F5357"/>
    <w:rsid w:val="000F5A4E"/>
    <w:rsid w:val="000F5A61"/>
    <w:rsid w:val="000F7406"/>
    <w:rsid w:val="000F7612"/>
    <w:rsid w:val="00101B7D"/>
    <w:rsid w:val="00102337"/>
    <w:rsid w:val="00105263"/>
    <w:rsid w:val="00105609"/>
    <w:rsid w:val="00105D9B"/>
    <w:rsid w:val="001102BC"/>
    <w:rsid w:val="00117CED"/>
    <w:rsid w:val="00120420"/>
    <w:rsid w:val="00134DA9"/>
    <w:rsid w:val="001401D2"/>
    <w:rsid w:val="0014183B"/>
    <w:rsid w:val="0014421D"/>
    <w:rsid w:val="0015478F"/>
    <w:rsid w:val="00165478"/>
    <w:rsid w:val="0016700E"/>
    <w:rsid w:val="00167D82"/>
    <w:rsid w:val="00173E11"/>
    <w:rsid w:val="0017498E"/>
    <w:rsid w:val="00177E0B"/>
    <w:rsid w:val="001869DD"/>
    <w:rsid w:val="00187589"/>
    <w:rsid w:val="001901BA"/>
    <w:rsid w:val="00190570"/>
    <w:rsid w:val="00193F9D"/>
    <w:rsid w:val="0019449D"/>
    <w:rsid w:val="001A29F8"/>
    <w:rsid w:val="001A4191"/>
    <w:rsid w:val="001A59AD"/>
    <w:rsid w:val="001B1725"/>
    <w:rsid w:val="001B355E"/>
    <w:rsid w:val="001B4B60"/>
    <w:rsid w:val="001C2229"/>
    <w:rsid w:val="001D1567"/>
    <w:rsid w:val="001D2D29"/>
    <w:rsid w:val="001D63A1"/>
    <w:rsid w:val="001E182B"/>
    <w:rsid w:val="001E519C"/>
    <w:rsid w:val="001F45C7"/>
    <w:rsid w:val="001F6826"/>
    <w:rsid w:val="00203603"/>
    <w:rsid w:val="00203B42"/>
    <w:rsid w:val="00203D6D"/>
    <w:rsid w:val="002064B6"/>
    <w:rsid w:val="0021167C"/>
    <w:rsid w:val="0022184E"/>
    <w:rsid w:val="002223C7"/>
    <w:rsid w:val="0022283E"/>
    <w:rsid w:val="00222CB8"/>
    <w:rsid w:val="00234288"/>
    <w:rsid w:val="00237F73"/>
    <w:rsid w:val="00240EB1"/>
    <w:rsid w:val="00243374"/>
    <w:rsid w:val="00243A41"/>
    <w:rsid w:val="00244BA8"/>
    <w:rsid w:val="00247F62"/>
    <w:rsid w:val="00265EEC"/>
    <w:rsid w:val="00275119"/>
    <w:rsid w:val="00280783"/>
    <w:rsid w:val="002A39AB"/>
    <w:rsid w:val="002B6A9A"/>
    <w:rsid w:val="002B788C"/>
    <w:rsid w:val="002C48B8"/>
    <w:rsid w:val="002C5FBA"/>
    <w:rsid w:val="002D079C"/>
    <w:rsid w:val="002D23DC"/>
    <w:rsid w:val="002D3785"/>
    <w:rsid w:val="002E0158"/>
    <w:rsid w:val="002E6A22"/>
    <w:rsid w:val="002E77B5"/>
    <w:rsid w:val="002F370B"/>
    <w:rsid w:val="002F4A05"/>
    <w:rsid w:val="003020D3"/>
    <w:rsid w:val="003022BA"/>
    <w:rsid w:val="003076EF"/>
    <w:rsid w:val="00315DD5"/>
    <w:rsid w:val="00330CE3"/>
    <w:rsid w:val="00331AB0"/>
    <w:rsid w:val="00333005"/>
    <w:rsid w:val="0033596F"/>
    <w:rsid w:val="0033625E"/>
    <w:rsid w:val="0034396F"/>
    <w:rsid w:val="0035072E"/>
    <w:rsid w:val="003549FF"/>
    <w:rsid w:val="003617E9"/>
    <w:rsid w:val="0036312B"/>
    <w:rsid w:val="00366F88"/>
    <w:rsid w:val="003702E7"/>
    <w:rsid w:val="0037068A"/>
    <w:rsid w:val="0037429D"/>
    <w:rsid w:val="00377252"/>
    <w:rsid w:val="00394202"/>
    <w:rsid w:val="00397333"/>
    <w:rsid w:val="00397626"/>
    <w:rsid w:val="003A128A"/>
    <w:rsid w:val="003A782A"/>
    <w:rsid w:val="003B2174"/>
    <w:rsid w:val="003B2415"/>
    <w:rsid w:val="003C159A"/>
    <w:rsid w:val="003D2D32"/>
    <w:rsid w:val="003D584C"/>
    <w:rsid w:val="003D6817"/>
    <w:rsid w:val="003D7F8F"/>
    <w:rsid w:val="003E52AD"/>
    <w:rsid w:val="003F3097"/>
    <w:rsid w:val="003F43A6"/>
    <w:rsid w:val="003F4DF1"/>
    <w:rsid w:val="00407BF3"/>
    <w:rsid w:val="00413467"/>
    <w:rsid w:val="00423B63"/>
    <w:rsid w:val="00425F64"/>
    <w:rsid w:val="00432E32"/>
    <w:rsid w:val="0043591E"/>
    <w:rsid w:val="004424F3"/>
    <w:rsid w:val="00444D7A"/>
    <w:rsid w:val="00446CBB"/>
    <w:rsid w:val="00447CFB"/>
    <w:rsid w:val="00450429"/>
    <w:rsid w:val="00456397"/>
    <w:rsid w:val="00484AAB"/>
    <w:rsid w:val="00484E59"/>
    <w:rsid w:val="0048551E"/>
    <w:rsid w:val="00487714"/>
    <w:rsid w:val="0049052A"/>
    <w:rsid w:val="00493CFD"/>
    <w:rsid w:val="00495429"/>
    <w:rsid w:val="00496892"/>
    <w:rsid w:val="004A10DC"/>
    <w:rsid w:val="004A2756"/>
    <w:rsid w:val="004B3B28"/>
    <w:rsid w:val="004B4029"/>
    <w:rsid w:val="004B41F5"/>
    <w:rsid w:val="004D100D"/>
    <w:rsid w:val="004D17E6"/>
    <w:rsid w:val="004D1B18"/>
    <w:rsid w:val="004D4380"/>
    <w:rsid w:val="004D6570"/>
    <w:rsid w:val="004D76BE"/>
    <w:rsid w:val="004E091C"/>
    <w:rsid w:val="004E0E55"/>
    <w:rsid w:val="004E1AB8"/>
    <w:rsid w:val="004E2365"/>
    <w:rsid w:val="004E4997"/>
    <w:rsid w:val="004E4ABC"/>
    <w:rsid w:val="00502AF5"/>
    <w:rsid w:val="00502FD7"/>
    <w:rsid w:val="00507477"/>
    <w:rsid w:val="005115F1"/>
    <w:rsid w:val="0051168C"/>
    <w:rsid w:val="0051521E"/>
    <w:rsid w:val="00520065"/>
    <w:rsid w:val="0052106B"/>
    <w:rsid w:val="005257E4"/>
    <w:rsid w:val="005320B6"/>
    <w:rsid w:val="005332CF"/>
    <w:rsid w:val="00533F51"/>
    <w:rsid w:val="0053509F"/>
    <w:rsid w:val="00540FCB"/>
    <w:rsid w:val="00542B3F"/>
    <w:rsid w:val="00550717"/>
    <w:rsid w:val="00550AED"/>
    <w:rsid w:val="00555321"/>
    <w:rsid w:val="005553A4"/>
    <w:rsid w:val="00562126"/>
    <w:rsid w:val="00562BAD"/>
    <w:rsid w:val="005646CB"/>
    <w:rsid w:val="00565227"/>
    <w:rsid w:val="00572282"/>
    <w:rsid w:val="005747D4"/>
    <w:rsid w:val="005834FD"/>
    <w:rsid w:val="005850D5"/>
    <w:rsid w:val="005938F2"/>
    <w:rsid w:val="005A3E2A"/>
    <w:rsid w:val="005A4560"/>
    <w:rsid w:val="005A4F64"/>
    <w:rsid w:val="005D25EE"/>
    <w:rsid w:val="005D51A6"/>
    <w:rsid w:val="005D5415"/>
    <w:rsid w:val="005D5C22"/>
    <w:rsid w:val="005D7284"/>
    <w:rsid w:val="005E0169"/>
    <w:rsid w:val="005E219F"/>
    <w:rsid w:val="005E22FA"/>
    <w:rsid w:val="005E2B04"/>
    <w:rsid w:val="005E6FA9"/>
    <w:rsid w:val="005F3D54"/>
    <w:rsid w:val="00605D5F"/>
    <w:rsid w:val="00614C01"/>
    <w:rsid w:val="00621969"/>
    <w:rsid w:val="00626E54"/>
    <w:rsid w:val="00634D4D"/>
    <w:rsid w:val="00637690"/>
    <w:rsid w:val="00640260"/>
    <w:rsid w:val="00640674"/>
    <w:rsid w:val="00644F3C"/>
    <w:rsid w:val="00651632"/>
    <w:rsid w:val="00654D03"/>
    <w:rsid w:val="006553D2"/>
    <w:rsid w:val="00655AEB"/>
    <w:rsid w:val="00655C06"/>
    <w:rsid w:val="00656F53"/>
    <w:rsid w:val="00657D01"/>
    <w:rsid w:val="00660068"/>
    <w:rsid w:val="00660166"/>
    <w:rsid w:val="0066318F"/>
    <w:rsid w:val="00664943"/>
    <w:rsid w:val="006651F6"/>
    <w:rsid w:val="0066733D"/>
    <w:rsid w:val="006678A7"/>
    <w:rsid w:val="00675003"/>
    <w:rsid w:val="00687486"/>
    <w:rsid w:val="00690BDF"/>
    <w:rsid w:val="00692800"/>
    <w:rsid w:val="00693558"/>
    <w:rsid w:val="00694AA0"/>
    <w:rsid w:val="006954D5"/>
    <w:rsid w:val="00696164"/>
    <w:rsid w:val="006A06EA"/>
    <w:rsid w:val="006A2C48"/>
    <w:rsid w:val="006A3F0D"/>
    <w:rsid w:val="006A707A"/>
    <w:rsid w:val="006B3CCE"/>
    <w:rsid w:val="006B667A"/>
    <w:rsid w:val="006D34F4"/>
    <w:rsid w:val="006D3625"/>
    <w:rsid w:val="006D5462"/>
    <w:rsid w:val="006D7596"/>
    <w:rsid w:val="006D778F"/>
    <w:rsid w:val="006E0657"/>
    <w:rsid w:val="006E6EFA"/>
    <w:rsid w:val="006F0775"/>
    <w:rsid w:val="006F79A3"/>
    <w:rsid w:val="00703FE1"/>
    <w:rsid w:val="007047B4"/>
    <w:rsid w:val="00712C2D"/>
    <w:rsid w:val="00714591"/>
    <w:rsid w:val="00714E9D"/>
    <w:rsid w:val="00715908"/>
    <w:rsid w:val="00716F5C"/>
    <w:rsid w:val="007210A3"/>
    <w:rsid w:val="007243A6"/>
    <w:rsid w:val="007305D1"/>
    <w:rsid w:val="00732EA2"/>
    <w:rsid w:val="00734E77"/>
    <w:rsid w:val="00736DC5"/>
    <w:rsid w:val="00741CC7"/>
    <w:rsid w:val="00743AD7"/>
    <w:rsid w:val="0074484A"/>
    <w:rsid w:val="0075033B"/>
    <w:rsid w:val="007516FC"/>
    <w:rsid w:val="007536FF"/>
    <w:rsid w:val="007562BC"/>
    <w:rsid w:val="00757A91"/>
    <w:rsid w:val="00765DC5"/>
    <w:rsid w:val="00771093"/>
    <w:rsid w:val="00771D9D"/>
    <w:rsid w:val="00783534"/>
    <w:rsid w:val="00783FF6"/>
    <w:rsid w:val="007840B3"/>
    <w:rsid w:val="00787189"/>
    <w:rsid w:val="007927DE"/>
    <w:rsid w:val="007A131B"/>
    <w:rsid w:val="007A45CA"/>
    <w:rsid w:val="007A5401"/>
    <w:rsid w:val="007B0596"/>
    <w:rsid w:val="007B3ED9"/>
    <w:rsid w:val="007B42B7"/>
    <w:rsid w:val="007B74B8"/>
    <w:rsid w:val="007C0AE4"/>
    <w:rsid w:val="007C4EA3"/>
    <w:rsid w:val="007C6594"/>
    <w:rsid w:val="007D09B7"/>
    <w:rsid w:val="007D561A"/>
    <w:rsid w:val="007E23F5"/>
    <w:rsid w:val="007E25E9"/>
    <w:rsid w:val="007E423B"/>
    <w:rsid w:val="007E5EA0"/>
    <w:rsid w:val="007E7148"/>
    <w:rsid w:val="007F5207"/>
    <w:rsid w:val="007F5E54"/>
    <w:rsid w:val="007F643F"/>
    <w:rsid w:val="007F6485"/>
    <w:rsid w:val="0080454C"/>
    <w:rsid w:val="008045C1"/>
    <w:rsid w:val="00804BDE"/>
    <w:rsid w:val="0081102D"/>
    <w:rsid w:val="00812D17"/>
    <w:rsid w:val="00814071"/>
    <w:rsid w:val="00821270"/>
    <w:rsid w:val="008234D8"/>
    <w:rsid w:val="008246FB"/>
    <w:rsid w:val="00824EC8"/>
    <w:rsid w:val="0082731D"/>
    <w:rsid w:val="00836FDD"/>
    <w:rsid w:val="008370BF"/>
    <w:rsid w:val="0084225F"/>
    <w:rsid w:val="0084584A"/>
    <w:rsid w:val="008508BD"/>
    <w:rsid w:val="008528A1"/>
    <w:rsid w:val="008534FD"/>
    <w:rsid w:val="00856278"/>
    <w:rsid w:val="00860D7C"/>
    <w:rsid w:val="00865286"/>
    <w:rsid w:val="00871271"/>
    <w:rsid w:val="00874726"/>
    <w:rsid w:val="0087644F"/>
    <w:rsid w:val="00883857"/>
    <w:rsid w:val="008846BF"/>
    <w:rsid w:val="00884D9C"/>
    <w:rsid w:val="00884E2E"/>
    <w:rsid w:val="008862EE"/>
    <w:rsid w:val="008901C0"/>
    <w:rsid w:val="008941E1"/>
    <w:rsid w:val="0089565C"/>
    <w:rsid w:val="00895FD5"/>
    <w:rsid w:val="0089773A"/>
    <w:rsid w:val="008A2AD7"/>
    <w:rsid w:val="008A6ACF"/>
    <w:rsid w:val="008A74C2"/>
    <w:rsid w:val="008C2C28"/>
    <w:rsid w:val="008C5462"/>
    <w:rsid w:val="008C585B"/>
    <w:rsid w:val="008D55AC"/>
    <w:rsid w:val="008F1026"/>
    <w:rsid w:val="008F12CD"/>
    <w:rsid w:val="008F1FEA"/>
    <w:rsid w:val="008F5336"/>
    <w:rsid w:val="0090507E"/>
    <w:rsid w:val="00907B1D"/>
    <w:rsid w:val="0091038E"/>
    <w:rsid w:val="00916337"/>
    <w:rsid w:val="00922134"/>
    <w:rsid w:val="0092331F"/>
    <w:rsid w:val="00923667"/>
    <w:rsid w:val="00924983"/>
    <w:rsid w:val="009343A7"/>
    <w:rsid w:val="009351CC"/>
    <w:rsid w:val="009420D5"/>
    <w:rsid w:val="00943364"/>
    <w:rsid w:val="0095399E"/>
    <w:rsid w:val="00955C4B"/>
    <w:rsid w:val="009653E3"/>
    <w:rsid w:val="00967691"/>
    <w:rsid w:val="00967E2F"/>
    <w:rsid w:val="00971A58"/>
    <w:rsid w:val="00975AEE"/>
    <w:rsid w:val="00976AA6"/>
    <w:rsid w:val="00977845"/>
    <w:rsid w:val="00990AA9"/>
    <w:rsid w:val="0099468F"/>
    <w:rsid w:val="009A183C"/>
    <w:rsid w:val="009A3400"/>
    <w:rsid w:val="009A3D31"/>
    <w:rsid w:val="009A5A3F"/>
    <w:rsid w:val="009C0CC3"/>
    <w:rsid w:val="009C3C8B"/>
    <w:rsid w:val="009C585D"/>
    <w:rsid w:val="009D0BA6"/>
    <w:rsid w:val="009E17CD"/>
    <w:rsid w:val="009E699F"/>
    <w:rsid w:val="009E7FE1"/>
    <w:rsid w:val="009F56BF"/>
    <w:rsid w:val="00A023AF"/>
    <w:rsid w:val="00A26B6C"/>
    <w:rsid w:val="00A31548"/>
    <w:rsid w:val="00A43A8D"/>
    <w:rsid w:val="00A46BB8"/>
    <w:rsid w:val="00A67C3C"/>
    <w:rsid w:val="00A72E3C"/>
    <w:rsid w:val="00A7305B"/>
    <w:rsid w:val="00A803E7"/>
    <w:rsid w:val="00A846E7"/>
    <w:rsid w:val="00A9170D"/>
    <w:rsid w:val="00A9377F"/>
    <w:rsid w:val="00A93C1B"/>
    <w:rsid w:val="00A9583C"/>
    <w:rsid w:val="00AA07C9"/>
    <w:rsid w:val="00AA0FA1"/>
    <w:rsid w:val="00AA3714"/>
    <w:rsid w:val="00AA3F2C"/>
    <w:rsid w:val="00AA72B7"/>
    <w:rsid w:val="00AA7BAC"/>
    <w:rsid w:val="00AB1AA6"/>
    <w:rsid w:val="00AB2D2E"/>
    <w:rsid w:val="00AB4868"/>
    <w:rsid w:val="00AB48BC"/>
    <w:rsid w:val="00AB6A1C"/>
    <w:rsid w:val="00AC7A00"/>
    <w:rsid w:val="00AD14A0"/>
    <w:rsid w:val="00AD413B"/>
    <w:rsid w:val="00AD4D3B"/>
    <w:rsid w:val="00AE1643"/>
    <w:rsid w:val="00AE2A9E"/>
    <w:rsid w:val="00AE5CDD"/>
    <w:rsid w:val="00AF3205"/>
    <w:rsid w:val="00AF4858"/>
    <w:rsid w:val="00AF5ECA"/>
    <w:rsid w:val="00AF601E"/>
    <w:rsid w:val="00B00D17"/>
    <w:rsid w:val="00B01982"/>
    <w:rsid w:val="00B035A5"/>
    <w:rsid w:val="00B048F4"/>
    <w:rsid w:val="00B04BB7"/>
    <w:rsid w:val="00B10D93"/>
    <w:rsid w:val="00B12A37"/>
    <w:rsid w:val="00B21CD4"/>
    <w:rsid w:val="00B45F82"/>
    <w:rsid w:val="00B52269"/>
    <w:rsid w:val="00B55C2E"/>
    <w:rsid w:val="00B56878"/>
    <w:rsid w:val="00B634EE"/>
    <w:rsid w:val="00B63591"/>
    <w:rsid w:val="00B648A8"/>
    <w:rsid w:val="00B66CD3"/>
    <w:rsid w:val="00B67358"/>
    <w:rsid w:val="00B67CFE"/>
    <w:rsid w:val="00B71277"/>
    <w:rsid w:val="00B77466"/>
    <w:rsid w:val="00B82622"/>
    <w:rsid w:val="00B853D2"/>
    <w:rsid w:val="00B918F4"/>
    <w:rsid w:val="00B95D55"/>
    <w:rsid w:val="00BA014F"/>
    <w:rsid w:val="00BA2AA9"/>
    <w:rsid w:val="00BA35B0"/>
    <w:rsid w:val="00BA3E00"/>
    <w:rsid w:val="00BA6AF9"/>
    <w:rsid w:val="00BA70EE"/>
    <w:rsid w:val="00BB0659"/>
    <w:rsid w:val="00BC0198"/>
    <w:rsid w:val="00BC0766"/>
    <w:rsid w:val="00BC0C1D"/>
    <w:rsid w:val="00BC0E2F"/>
    <w:rsid w:val="00BC1278"/>
    <w:rsid w:val="00BC6C97"/>
    <w:rsid w:val="00BD6B4D"/>
    <w:rsid w:val="00BE00A1"/>
    <w:rsid w:val="00BE198F"/>
    <w:rsid w:val="00BF34C2"/>
    <w:rsid w:val="00BF4457"/>
    <w:rsid w:val="00BF6883"/>
    <w:rsid w:val="00C00A9F"/>
    <w:rsid w:val="00C04490"/>
    <w:rsid w:val="00C06DB1"/>
    <w:rsid w:val="00C13557"/>
    <w:rsid w:val="00C14441"/>
    <w:rsid w:val="00C158ED"/>
    <w:rsid w:val="00C16466"/>
    <w:rsid w:val="00C17A95"/>
    <w:rsid w:val="00C21AFE"/>
    <w:rsid w:val="00C31F81"/>
    <w:rsid w:val="00C33417"/>
    <w:rsid w:val="00C3560E"/>
    <w:rsid w:val="00C37D77"/>
    <w:rsid w:val="00C412E2"/>
    <w:rsid w:val="00C44515"/>
    <w:rsid w:val="00C44772"/>
    <w:rsid w:val="00C57A89"/>
    <w:rsid w:val="00C60015"/>
    <w:rsid w:val="00C706CC"/>
    <w:rsid w:val="00C87F3E"/>
    <w:rsid w:val="00C9193D"/>
    <w:rsid w:val="00C9610F"/>
    <w:rsid w:val="00C972DB"/>
    <w:rsid w:val="00CB48B0"/>
    <w:rsid w:val="00CB7944"/>
    <w:rsid w:val="00CC0A0E"/>
    <w:rsid w:val="00CC3E92"/>
    <w:rsid w:val="00CC539A"/>
    <w:rsid w:val="00CC67DB"/>
    <w:rsid w:val="00CC7E49"/>
    <w:rsid w:val="00CD3217"/>
    <w:rsid w:val="00CD6E90"/>
    <w:rsid w:val="00CE6F98"/>
    <w:rsid w:val="00CF2C5F"/>
    <w:rsid w:val="00CF3391"/>
    <w:rsid w:val="00CF7AE1"/>
    <w:rsid w:val="00D011AE"/>
    <w:rsid w:val="00D02FEF"/>
    <w:rsid w:val="00D03514"/>
    <w:rsid w:val="00D045F3"/>
    <w:rsid w:val="00D06674"/>
    <w:rsid w:val="00D10AF7"/>
    <w:rsid w:val="00D10C2F"/>
    <w:rsid w:val="00D13A81"/>
    <w:rsid w:val="00D149F4"/>
    <w:rsid w:val="00D14CEB"/>
    <w:rsid w:val="00D214F3"/>
    <w:rsid w:val="00D21836"/>
    <w:rsid w:val="00D27E25"/>
    <w:rsid w:val="00D3009D"/>
    <w:rsid w:val="00D3422A"/>
    <w:rsid w:val="00D35DB7"/>
    <w:rsid w:val="00D36720"/>
    <w:rsid w:val="00D44E37"/>
    <w:rsid w:val="00D4682E"/>
    <w:rsid w:val="00D51404"/>
    <w:rsid w:val="00D53051"/>
    <w:rsid w:val="00D67554"/>
    <w:rsid w:val="00D72889"/>
    <w:rsid w:val="00D81407"/>
    <w:rsid w:val="00D85C0A"/>
    <w:rsid w:val="00D945B9"/>
    <w:rsid w:val="00D94AED"/>
    <w:rsid w:val="00DA2EF7"/>
    <w:rsid w:val="00DA344A"/>
    <w:rsid w:val="00DA37E3"/>
    <w:rsid w:val="00DA6D21"/>
    <w:rsid w:val="00DB4045"/>
    <w:rsid w:val="00DB51AE"/>
    <w:rsid w:val="00DC1083"/>
    <w:rsid w:val="00DD2EAD"/>
    <w:rsid w:val="00DD3B5A"/>
    <w:rsid w:val="00DD52EE"/>
    <w:rsid w:val="00DE248D"/>
    <w:rsid w:val="00DE2556"/>
    <w:rsid w:val="00DE4D0E"/>
    <w:rsid w:val="00DE51B9"/>
    <w:rsid w:val="00DE6EAE"/>
    <w:rsid w:val="00DE7131"/>
    <w:rsid w:val="00DF59AB"/>
    <w:rsid w:val="00E03C38"/>
    <w:rsid w:val="00E04262"/>
    <w:rsid w:val="00E13B2D"/>
    <w:rsid w:val="00E22EEB"/>
    <w:rsid w:val="00E25002"/>
    <w:rsid w:val="00E25160"/>
    <w:rsid w:val="00E3007F"/>
    <w:rsid w:val="00E31039"/>
    <w:rsid w:val="00E31934"/>
    <w:rsid w:val="00E33B2F"/>
    <w:rsid w:val="00E37FB0"/>
    <w:rsid w:val="00E4374A"/>
    <w:rsid w:val="00E4407B"/>
    <w:rsid w:val="00E4440E"/>
    <w:rsid w:val="00E46E93"/>
    <w:rsid w:val="00E51D7A"/>
    <w:rsid w:val="00E7028A"/>
    <w:rsid w:val="00E73CBF"/>
    <w:rsid w:val="00E7484F"/>
    <w:rsid w:val="00E76508"/>
    <w:rsid w:val="00E812C9"/>
    <w:rsid w:val="00E9349B"/>
    <w:rsid w:val="00E951E4"/>
    <w:rsid w:val="00E95E82"/>
    <w:rsid w:val="00EA3214"/>
    <w:rsid w:val="00EA4633"/>
    <w:rsid w:val="00EA6890"/>
    <w:rsid w:val="00EC152F"/>
    <w:rsid w:val="00EC20F8"/>
    <w:rsid w:val="00EC595C"/>
    <w:rsid w:val="00ED30FE"/>
    <w:rsid w:val="00ED3546"/>
    <w:rsid w:val="00ED4C05"/>
    <w:rsid w:val="00EE06A9"/>
    <w:rsid w:val="00EE41B9"/>
    <w:rsid w:val="00EF1952"/>
    <w:rsid w:val="00F241D1"/>
    <w:rsid w:val="00F32D5A"/>
    <w:rsid w:val="00F36B94"/>
    <w:rsid w:val="00F425BB"/>
    <w:rsid w:val="00F70593"/>
    <w:rsid w:val="00F77AF6"/>
    <w:rsid w:val="00F9105C"/>
    <w:rsid w:val="00F937B1"/>
    <w:rsid w:val="00FC012D"/>
    <w:rsid w:val="00FC505B"/>
    <w:rsid w:val="00FC67A6"/>
    <w:rsid w:val="00FD0FAA"/>
    <w:rsid w:val="00FD6B2C"/>
    <w:rsid w:val="00FE3D0F"/>
    <w:rsid w:val="00FE6906"/>
    <w:rsid w:val="00FE782C"/>
    <w:rsid w:val="00FF00C9"/>
    <w:rsid w:val="00FF11C7"/>
    <w:rsid w:val="00FF1AE0"/>
    <w:rsid w:val="00FF1F38"/>
    <w:rsid w:val="00FF3D67"/>
    <w:rsid w:val="00FF5450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BC8A8"/>
  <w15:docId w15:val="{A88EECCE-CB88-4531-91DE-D569A9A3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C1278"/>
    <w:pPr>
      <w:keepNext/>
      <w:keepLines/>
      <w:suppressAutoHyphens w:val="0"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F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7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365"/>
  </w:style>
  <w:style w:type="paragraph" w:styleId="Stopka">
    <w:name w:val="footer"/>
    <w:basedOn w:val="Normalny"/>
    <w:link w:val="StopkaZnak"/>
    <w:uiPriority w:val="99"/>
    <w:unhideWhenUsed/>
    <w:rsid w:val="004E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365"/>
  </w:style>
  <w:style w:type="character" w:customStyle="1" w:styleId="Nagwek1Znak">
    <w:name w:val="Nagłówek 1 Znak"/>
    <w:basedOn w:val="Domylnaczcionkaakapitu"/>
    <w:link w:val="Nagwek1"/>
    <w:uiPriority w:val="9"/>
    <w:rsid w:val="00BC12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unhideWhenUsed/>
    <w:rsid w:val="00BC1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1278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1278"/>
    <w:rPr>
      <w:rFonts w:asciiTheme="minorHAnsi" w:eastAsiaTheme="minorHAnsi" w:hAnsiTheme="minorHAnsi" w:cstheme="minorBidi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C1278"/>
    <w:pPr>
      <w:suppressAutoHyphens w:val="0"/>
      <w:autoSpaceDN/>
      <w:spacing w:after="120" w:line="259" w:lineRule="auto"/>
      <w:ind w:left="283"/>
      <w:textAlignment w:val="auto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1278"/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A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A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AFE"/>
    <w:rPr>
      <w:vertAlign w:val="superscript"/>
    </w:rPr>
  </w:style>
  <w:style w:type="paragraph" w:styleId="Tekstpodstawowy">
    <w:name w:val="Body Text"/>
    <w:basedOn w:val="Normalny"/>
    <w:link w:val="TekstpodstawowyZnak"/>
    <w:rsid w:val="00244BA8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44B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5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5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55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4F4"/>
    <w:pPr>
      <w:suppressAutoHyphens/>
      <w:autoSpaceDN w:val="0"/>
      <w:textAlignment w:val="baseline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4F4"/>
    <w:rPr>
      <w:rFonts w:asciiTheme="minorHAnsi" w:eastAsiaTheme="minorHAnsi" w:hAnsiTheme="minorHAnsi" w:cstheme="minorBidi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77252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53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006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14E9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47F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B853D2"/>
    <w:pPr>
      <w:autoSpaceDN/>
      <w:spacing w:after="0" w:line="240" w:lineRule="auto"/>
      <w:textAlignment w:val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644F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B0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365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26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42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6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tylosci.pl/karta-praw-chorego-na-otylosc?utm_source=informacja_prasowa&amp;utm_medium=email&amp;utm_campaign=KARTA_PRAW&amp;utm_id=WOD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orldobesity.org/what-we-do/world-obesity-day/world-obesity-day-4-march-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B366B-B346-4803-8C9A-3BEA2D72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1494</Words>
  <Characters>8964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Przyjalkowska</dc:creator>
  <cp:keywords/>
  <dc:description/>
  <cp:lastModifiedBy>Marta Smialek</cp:lastModifiedBy>
  <cp:revision>9</cp:revision>
  <dcterms:created xsi:type="dcterms:W3CDTF">2023-02-24T08:56:00Z</dcterms:created>
  <dcterms:modified xsi:type="dcterms:W3CDTF">2023-03-02T11:26:00Z</dcterms:modified>
</cp:coreProperties>
</file>