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5A8E8B61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F7665B">
        <w:rPr>
          <w:sz w:val="22"/>
        </w:rPr>
        <w:t>6</w:t>
      </w:r>
      <w:r w:rsidR="00263BB5" w:rsidRPr="00263BB5">
        <w:rPr>
          <w:sz w:val="22"/>
        </w:rPr>
        <w:t>.</w:t>
      </w:r>
      <w:r w:rsidR="00C537EB">
        <w:rPr>
          <w:sz w:val="22"/>
        </w:rPr>
        <w:t>0</w:t>
      </w:r>
      <w:r w:rsidR="000937E2">
        <w:rPr>
          <w:sz w:val="22"/>
        </w:rPr>
        <w:t>3</w:t>
      </w:r>
      <w:r w:rsidR="00263BB5" w:rsidRPr="00263BB5">
        <w:rPr>
          <w:sz w:val="22"/>
        </w:rPr>
        <w:t>.202</w:t>
      </w:r>
      <w:r w:rsidR="00C537EB">
        <w:rPr>
          <w:sz w:val="22"/>
        </w:rPr>
        <w:t>3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D3DFB83" w14:textId="2D7727D8" w:rsidR="001D3DE7" w:rsidRPr="00263BB5" w:rsidRDefault="000818D8" w:rsidP="001D3DE7">
      <w:pPr>
        <w:jc w:val="both"/>
        <w:rPr>
          <w:b/>
          <w:bCs/>
          <w:sz w:val="23"/>
          <w:szCs w:val="23"/>
        </w:rPr>
      </w:pPr>
      <w:bookmarkStart w:id="0" w:name="_Hlk128733898"/>
      <w:r>
        <w:rPr>
          <w:b/>
          <w:bCs/>
          <w:sz w:val="24"/>
          <w:szCs w:val="24"/>
        </w:rPr>
        <w:t>O</w:t>
      </w:r>
      <w:r w:rsidR="001D3DE7" w:rsidRPr="00C00D06">
        <w:rPr>
          <w:b/>
          <w:bCs/>
          <w:sz w:val="24"/>
          <w:szCs w:val="24"/>
        </w:rPr>
        <w:t xml:space="preserve"> </w:t>
      </w:r>
      <w:r w:rsidR="000937E2">
        <w:rPr>
          <w:b/>
          <w:bCs/>
          <w:sz w:val="24"/>
          <w:szCs w:val="24"/>
        </w:rPr>
        <w:t>37</w:t>
      </w:r>
      <w:r w:rsidR="001D3DE7" w:rsidRPr="00C00D06">
        <w:rPr>
          <w:b/>
          <w:bCs/>
          <w:sz w:val="24"/>
          <w:szCs w:val="24"/>
        </w:rPr>
        <w:t>,</w:t>
      </w:r>
      <w:r w:rsidR="000937E2">
        <w:rPr>
          <w:b/>
          <w:bCs/>
          <w:sz w:val="24"/>
          <w:szCs w:val="24"/>
        </w:rPr>
        <w:t>6</w:t>
      </w:r>
      <w:r w:rsidR="001D3DE7" w:rsidRPr="00C00D06">
        <w:rPr>
          <w:b/>
          <w:bCs/>
          <w:sz w:val="24"/>
          <w:szCs w:val="24"/>
        </w:rPr>
        <w:t xml:space="preserve">% </w:t>
      </w:r>
      <w:r w:rsidR="001D3DE7">
        <w:rPr>
          <w:b/>
          <w:bCs/>
          <w:sz w:val="24"/>
          <w:szCs w:val="24"/>
        </w:rPr>
        <w:t>spadła</w:t>
      </w:r>
      <w:r w:rsidR="001D3DE7" w:rsidRPr="00C00D06">
        <w:rPr>
          <w:b/>
          <w:bCs/>
          <w:sz w:val="24"/>
          <w:szCs w:val="24"/>
        </w:rPr>
        <w:t xml:space="preserve"> wartość zapytań o kredyty mieszkaniowe </w:t>
      </w:r>
      <w:r w:rsidR="00B3797A">
        <w:rPr>
          <w:b/>
          <w:bCs/>
          <w:sz w:val="24"/>
          <w:szCs w:val="24"/>
        </w:rPr>
        <w:t>w</w:t>
      </w:r>
      <w:r w:rsidR="001D3DE7" w:rsidRPr="00C00D06">
        <w:rPr>
          <w:b/>
          <w:bCs/>
          <w:sz w:val="24"/>
          <w:szCs w:val="24"/>
        </w:rPr>
        <w:t xml:space="preserve"> </w:t>
      </w:r>
      <w:r w:rsidR="000937E2">
        <w:rPr>
          <w:b/>
          <w:bCs/>
          <w:sz w:val="24"/>
          <w:szCs w:val="24"/>
        </w:rPr>
        <w:t>lutym</w:t>
      </w:r>
      <w:r w:rsidR="00B3797A">
        <w:rPr>
          <w:b/>
          <w:bCs/>
          <w:sz w:val="24"/>
          <w:szCs w:val="24"/>
        </w:rPr>
        <w:t xml:space="preserve"> 202</w:t>
      </w:r>
      <w:r w:rsidR="000009DC">
        <w:rPr>
          <w:b/>
          <w:bCs/>
          <w:sz w:val="24"/>
          <w:szCs w:val="24"/>
        </w:rPr>
        <w:t>3</w:t>
      </w:r>
      <w:r w:rsidR="00B3797A">
        <w:rPr>
          <w:b/>
          <w:bCs/>
          <w:sz w:val="24"/>
          <w:szCs w:val="24"/>
        </w:rPr>
        <w:t xml:space="preserve"> r. </w:t>
      </w:r>
      <w:bookmarkStart w:id="1" w:name="_Hlk73698368"/>
      <w:bookmarkEnd w:id="0"/>
      <w:r w:rsidR="001D3DE7" w:rsidRPr="00263BB5">
        <w:rPr>
          <w:b/>
          <w:bCs/>
          <w:sz w:val="23"/>
          <w:szCs w:val="23"/>
        </w:rPr>
        <w:t>Wartość BIK Indeksu Popytu na Kredyty Mieszkaniowe (BIK Indeks – PKM) informuje o rocznej dynamice wartości wnioskowanych kredytów mieszkaniowych. Wartość Indeksu oznacza, że w</w:t>
      </w:r>
      <w:r w:rsidR="001D3DE7">
        <w:rPr>
          <w:b/>
          <w:bCs/>
          <w:sz w:val="23"/>
          <w:szCs w:val="23"/>
        </w:rPr>
        <w:t xml:space="preserve"> </w:t>
      </w:r>
      <w:r w:rsidR="000937E2">
        <w:rPr>
          <w:b/>
          <w:bCs/>
          <w:sz w:val="23"/>
          <w:szCs w:val="23"/>
        </w:rPr>
        <w:t>lutym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3</w:t>
      </w:r>
      <w:r w:rsidR="001D3DE7" w:rsidRPr="00263BB5">
        <w:rPr>
          <w:b/>
          <w:bCs/>
          <w:sz w:val="23"/>
          <w:szCs w:val="23"/>
        </w:rPr>
        <w:t xml:space="preserve"> r., w przeliczeniu na dzień roboczy, banki i SKOK-i przesłały do BIK zapytania o kredyty mieszkaniowe na kwotę </w:t>
      </w:r>
      <w:r w:rsidR="001D3DE7">
        <w:rPr>
          <w:b/>
          <w:bCs/>
          <w:sz w:val="23"/>
          <w:szCs w:val="23"/>
        </w:rPr>
        <w:t>niższą</w:t>
      </w:r>
      <w:r w:rsidR="001D3DE7" w:rsidRPr="00263BB5">
        <w:rPr>
          <w:b/>
          <w:bCs/>
          <w:sz w:val="23"/>
          <w:szCs w:val="23"/>
        </w:rPr>
        <w:t xml:space="preserve"> o </w:t>
      </w:r>
      <w:r w:rsidR="000937E2">
        <w:rPr>
          <w:b/>
          <w:bCs/>
          <w:sz w:val="23"/>
          <w:szCs w:val="23"/>
        </w:rPr>
        <w:t>37</w:t>
      </w:r>
      <w:r w:rsidR="001D3DE7">
        <w:rPr>
          <w:b/>
          <w:bCs/>
          <w:sz w:val="23"/>
          <w:szCs w:val="23"/>
        </w:rPr>
        <w:t>,</w:t>
      </w:r>
      <w:r w:rsidR="003A460F">
        <w:rPr>
          <w:b/>
          <w:bCs/>
          <w:sz w:val="23"/>
          <w:szCs w:val="23"/>
        </w:rPr>
        <w:t>6</w:t>
      </w:r>
      <w:r w:rsidR="001D3DE7" w:rsidRPr="00263BB5">
        <w:rPr>
          <w:b/>
          <w:bCs/>
          <w:sz w:val="23"/>
          <w:szCs w:val="23"/>
        </w:rPr>
        <w:t xml:space="preserve">% w porównaniu </w:t>
      </w:r>
      <w:r w:rsidR="001D3DE7">
        <w:rPr>
          <w:b/>
          <w:bCs/>
          <w:sz w:val="23"/>
          <w:szCs w:val="23"/>
        </w:rPr>
        <w:t>do</w:t>
      </w:r>
      <w:r w:rsidR="001D3DE7" w:rsidRPr="00263BB5">
        <w:rPr>
          <w:b/>
          <w:bCs/>
          <w:sz w:val="23"/>
          <w:szCs w:val="23"/>
        </w:rPr>
        <w:t xml:space="preserve"> </w:t>
      </w:r>
      <w:r w:rsidR="000937E2">
        <w:rPr>
          <w:b/>
          <w:bCs/>
          <w:sz w:val="23"/>
          <w:szCs w:val="23"/>
        </w:rPr>
        <w:t>lutego</w:t>
      </w:r>
      <w:r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2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 xml:space="preserve">r. </w:t>
      </w:r>
    </w:p>
    <w:bookmarkEnd w:id="1"/>
    <w:p w14:paraId="4DE6BCB6" w14:textId="77777777" w:rsidR="001D3DE7" w:rsidRDefault="001D3DE7" w:rsidP="001D3DE7">
      <w:pPr>
        <w:jc w:val="both"/>
        <w:rPr>
          <w:szCs w:val="20"/>
        </w:rPr>
      </w:pPr>
    </w:p>
    <w:p w14:paraId="27E27027" w14:textId="41389F6A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W </w:t>
      </w:r>
      <w:r w:rsidR="000937E2">
        <w:rPr>
          <w:szCs w:val="20"/>
        </w:rPr>
        <w:t>lutym</w:t>
      </w:r>
      <w:r w:rsidRPr="00C00D06">
        <w:rPr>
          <w:szCs w:val="20"/>
        </w:rPr>
        <w:t xml:space="preserve"> 202</w:t>
      </w:r>
      <w:r w:rsidR="00A73FDB">
        <w:rPr>
          <w:szCs w:val="20"/>
        </w:rPr>
        <w:t>3</w:t>
      </w:r>
      <w:r w:rsidRPr="00C00D06">
        <w:rPr>
          <w:szCs w:val="20"/>
        </w:rPr>
        <w:t xml:space="preserve"> r. o kredyt mieszkaniowy wnioskowało łącznie </w:t>
      </w:r>
      <w:r>
        <w:rPr>
          <w:szCs w:val="20"/>
        </w:rPr>
        <w:t>1</w:t>
      </w:r>
      <w:r w:rsidR="000937E2">
        <w:rPr>
          <w:szCs w:val="20"/>
        </w:rPr>
        <w:t>9</w:t>
      </w:r>
      <w:r w:rsidRPr="00C00D06">
        <w:rPr>
          <w:szCs w:val="20"/>
        </w:rPr>
        <w:t>,</w:t>
      </w:r>
      <w:r w:rsidR="000937E2">
        <w:rPr>
          <w:szCs w:val="20"/>
        </w:rPr>
        <w:t>02</w:t>
      </w:r>
      <w:r w:rsidRPr="00C00D06">
        <w:rPr>
          <w:szCs w:val="20"/>
        </w:rPr>
        <w:t xml:space="preserve"> tys. potencjalnych kredytobiorców w porównaniu do </w:t>
      </w:r>
      <w:r w:rsidR="000937E2">
        <w:rPr>
          <w:szCs w:val="20"/>
        </w:rPr>
        <w:t>30</w:t>
      </w:r>
      <w:r w:rsidRPr="00C00D06">
        <w:rPr>
          <w:szCs w:val="20"/>
        </w:rPr>
        <w:t>,</w:t>
      </w:r>
      <w:r w:rsidR="000937E2">
        <w:rPr>
          <w:szCs w:val="20"/>
        </w:rPr>
        <w:t>4</w:t>
      </w:r>
      <w:r w:rsidR="003A460F">
        <w:rPr>
          <w:szCs w:val="20"/>
        </w:rPr>
        <w:t>1</w:t>
      </w:r>
      <w:r w:rsidRPr="00C00D06">
        <w:rPr>
          <w:szCs w:val="20"/>
        </w:rPr>
        <w:t xml:space="preserve"> tys. rok wcześniej – jest to spadek </w:t>
      </w:r>
      <w:r w:rsidR="00194C6A">
        <w:rPr>
          <w:szCs w:val="20"/>
        </w:rPr>
        <w:t xml:space="preserve">o </w:t>
      </w:r>
      <w:r w:rsidR="004767B5">
        <w:rPr>
          <w:szCs w:val="20"/>
        </w:rPr>
        <w:t>37</w:t>
      </w:r>
      <w:r w:rsidR="001D0DED">
        <w:rPr>
          <w:szCs w:val="20"/>
        </w:rPr>
        <w:t>,</w:t>
      </w:r>
      <w:r w:rsidR="004767B5">
        <w:rPr>
          <w:szCs w:val="20"/>
        </w:rPr>
        <w:t>4</w:t>
      </w:r>
      <w:r w:rsidRPr="00C00D06">
        <w:rPr>
          <w:szCs w:val="20"/>
        </w:rPr>
        <w:t xml:space="preserve">%. W porównaniu do </w:t>
      </w:r>
      <w:r w:rsidR="004767B5">
        <w:rPr>
          <w:szCs w:val="20"/>
        </w:rPr>
        <w:t>stycznia</w:t>
      </w:r>
      <w:r w:rsidR="002D4B49">
        <w:rPr>
          <w:szCs w:val="20"/>
        </w:rPr>
        <w:t xml:space="preserve"> </w:t>
      </w:r>
      <w:r>
        <w:rPr>
          <w:szCs w:val="20"/>
        </w:rPr>
        <w:t>202</w:t>
      </w:r>
      <w:r w:rsidR="004767B5">
        <w:rPr>
          <w:szCs w:val="20"/>
        </w:rPr>
        <w:t>3</w:t>
      </w:r>
      <w:r>
        <w:rPr>
          <w:szCs w:val="20"/>
        </w:rPr>
        <w:t xml:space="preserve"> r.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liczba </w:t>
      </w:r>
      <w:r w:rsidRPr="00C00D06">
        <w:rPr>
          <w:szCs w:val="20"/>
        </w:rPr>
        <w:t xml:space="preserve">osób wnioskujących o kredyt mieszkaniowy </w:t>
      </w:r>
      <w:r w:rsidR="001D0DED">
        <w:rPr>
          <w:szCs w:val="20"/>
        </w:rPr>
        <w:t>wzrosła</w:t>
      </w:r>
      <w:r w:rsidRPr="00C00D06">
        <w:rPr>
          <w:szCs w:val="20"/>
        </w:rPr>
        <w:t xml:space="preserve"> o </w:t>
      </w:r>
      <w:r w:rsidR="004767B5">
        <w:rPr>
          <w:szCs w:val="20"/>
        </w:rPr>
        <w:t>43</w:t>
      </w:r>
      <w:r>
        <w:rPr>
          <w:szCs w:val="20"/>
        </w:rPr>
        <w:t>,</w:t>
      </w:r>
      <w:r w:rsidR="004767B5">
        <w:rPr>
          <w:szCs w:val="20"/>
        </w:rPr>
        <w:t>5</w:t>
      </w:r>
      <w:r w:rsidRPr="00C00D06">
        <w:rPr>
          <w:szCs w:val="20"/>
        </w:rPr>
        <w:t xml:space="preserve">%. </w:t>
      </w:r>
    </w:p>
    <w:p w14:paraId="34F5606F" w14:textId="6D26CE2A" w:rsidR="001D3DE7" w:rsidRDefault="001D3DE7" w:rsidP="001D3DE7">
      <w:pPr>
        <w:jc w:val="both"/>
        <w:rPr>
          <w:szCs w:val="20"/>
        </w:rPr>
      </w:pPr>
      <w:bookmarkStart w:id="2" w:name="_Hlk128737095"/>
      <w:r w:rsidRPr="00C00D06">
        <w:rPr>
          <w:szCs w:val="20"/>
        </w:rPr>
        <w:t xml:space="preserve">Średnia wartość wnioskowanego kredytu </w:t>
      </w:r>
      <w:r>
        <w:rPr>
          <w:szCs w:val="20"/>
        </w:rPr>
        <w:t xml:space="preserve">mieszkaniowego </w:t>
      </w:r>
      <w:r w:rsidRPr="00C00D06">
        <w:rPr>
          <w:szCs w:val="20"/>
        </w:rPr>
        <w:t xml:space="preserve">w </w:t>
      </w:r>
      <w:r w:rsidR="004767B5">
        <w:rPr>
          <w:szCs w:val="20"/>
        </w:rPr>
        <w:t>lutym</w:t>
      </w:r>
      <w:r w:rsidRPr="00C00D06">
        <w:rPr>
          <w:szCs w:val="20"/>
        </w:rPr>
        <w:t xml:space="preserve"> </w:t>
      </w:r>
      <w:r w:rsidR="00C537EB">
        <w:rPr>
          <w:szCs w:val="20"/>
        </w:rPr>
        <w:t>202</w:t>
      </w:r>
      <w:r w:rsidR="00B50905">
        <w:rPr>
          <w:szCs w:val="20"/>
        </w:rPr>
        <w:t>3</w:t>
      </w:r>
      <w:r w:rsidR="00C537EB">
        <w:rPr>
          <w:szCs w:val="20"/>
        </w:rPr>
        <w:t xml:space="preserve"> r.</w:t>
      </w:r>
      <w:r w:rsidRPr="00C00D06">
        <w:rPr>
          <w:szCs w:val="20"/>
        </w:rPr>
        <w:t xml:space="preserve"> wyniosła 3</w:t>
      </w:r>
      <w:r w:rsidR="004767B5">
        <w:rPr>
          <w:szCs w:val="20"/>
        </w:rPr>
        <w:t>59</w:t>
      </w:r>
      <w:r w:rsidRPr="00C00D06">
        <w:rPr>
          <w:szCs w:val="20"/>
        </w:rPr>
        <w:t>,</w:t>
      </w:r>
      <w:r w:rsidR="004767B5">
        <w:rPr>
          <w:szCs w:val="20"/>
        </w:rPr>
        <w:t>7</w:t>
      </w:r>
      <w:r w:rsidR="00234904">
        <w:rPr>
          <w:szCs w:val="20"/>
        </w:rPr>
        <w:t xml:space="preserve"> </w:t>
      </w:r>
      <w:r w:rsidRPr="00C00D06">
        <w:rPr>
          <w:szCs w:val="20"/>
        </w:rPr>
        <w:t xml:space="preserve">tys. zł i była </w:t>
      </w:r>
      <w:r>
        <w:rPr>
          <w:szCs w:val="20"/>
        </w:rPr>
        <w:t>niższa</w:t>
      </w:r>
      <w:r w:rsidRPr="00C00D06">
        <w:rPr>
          <w:szCs w:val="20"/>
        </w:rPr>
        <w:t xml:space="preserve"> o</w:t>
      </w:r>
      <w:r w:rsidR="002A63FD">
        <w:rPr>
          <w:szCs w:val="20"/>
        </w:rPr>
        <w:t xml:space="preserve"> </w:t>
      </w:r>
      <w:r w:rsidR="004767B5">
        <w:rPr>
          <w:szCs w:val="20"/>
        </w:rPr>
        <w:t>0</w:t>
      </w:r>
      <w:r>
        <w:rPr>
          <w:szCs w:val="20"/>
        </w:rPr>
        <w:t>,</w:t>
      </w:r>
      <w:r w:rsidR="004767B5">
        <w:rPr>
          <w:szCs w:val="20"/>
        </w:rPr>
        <w:t>3</w:t>
      </w:r>
      <w:r w:rsidRPr="00C00D06">
        <w:rPr>
          <w:szCs w:val="20"/>
        </w:rPr>
        <w:t xml:space="preserve">% w relacji do wartości z </w:t>
      </w:r>
      <w:r w:rsidR="004767B5">
        <w:rPr>
          <w:szCs w:val="20"/>
        </w:rPr>
        <w:t>lutego</w:t>
      </w:r>
      <w:r w:rsidRPr="00C00D06">
        <w:rPr>
          <w:szCs w:val="20"/>
        </w:rPr>
        <w:t xml:space="preserve"> 202</w:t>
      </w:r>
      <w:r w:rsidR="001D0DED">
        <w:rPr>
          <w:szCs w:val="20"/>
        </w:rPr>
        <w:t>2</w:t>
      </w:r>
      <w:r w:rsidRPr="00C00D06">
        <w:rPr>
          <w:szCs w:val="20"/>
        </w:rPr>
        <w:t xml:space="preserve"> r</w:t>
      </w:r>
      <w:r w:rsidR="000D253F">
        <w:rPr>
          <w:szCs w:val="20"/>
        </w:rPr>
        <w:t>. W porównaniu d</w:t>
      </w:r>
      <w:r w:rsidR="00194C6A">
        <w:rPr>
          <w:szCs w:val="20"/>
        </w:rPr>
        <w:t xml:space="preserve">o </w:t>
      </w:r>
      <w:r w:rsidR="004767B5">
        <w:rPr>
          <w:szCs w:val="20"/>
        </w:rPr>
        <w:t>stycznia</w:t>
      </w:r>
      <w:r w:rsidRPr="00C00D06">
        <w:rPr>
          <w:szCs w:val="20"/>
        </w:rPr>
        <w:t xml:space="preserve"> 202</w:t>
      </w:r>
      <w:r w:rsidR="005D5096">
        <w:rPr>
          <w:szCs w:val="20"/>
        </w:rPr>
        <w:t>3</w:t>
      </w:r>
      <w:r w:rsidRPr="00C00D06">
        <w:rPr>
          <w:szCs w:val="20"/>
        </w:rPr>
        <w:t xml:space="preserve"> r. </w:t>
      </w:r>
      <w:r w:rsidR="000D253F">
        <w:rPr>
          <w:szCs w:val="20"/>
        </w:rPr>
        <w:t xml:space="preserve">była </w:t>
      </w:r>
      <w:r w:rsidR="004767B5">
        <w:rPr>
          <w:szCs w:val="20"/>
        </w:rPr>
        <w:t>wyższa</w:t>
      </w:r>
      <w:r w:rsidR="000D253F">
        <w:rPr>
          <w:szCs w:val="20"/>
        </w:rPr>
        <w:t xml:space="preserve"> o </w:t>
      </w:r>
      <w:r w:rsidR="004767B5">
        <w:rPr>
          <w:szCs w:val="20"/>
        </w:rPr>
        <w:t>4,0</w:t>
      </w:r>
      <w:r w:rsidR="000D253F">
        <w:rPr>
          <w:szCs w:val="20"/>
        </w:rPr>
        <w:t>%.</w:t>
      </w:r>
    </w:p>
    <w:bookmarkEnd w:id="2"/>
    <w:p w14:paraId="430E9A85" w14:textId="77777777" w:rsidR="00D4141B" w:rsidRDefault="00D4141B" w:rsidP="001D3DE7">
      <w:pPr>
        <w:jc w:val="both"/>
        <w:rPr>
          <w:i/>
          <w:szCs w:val="20"/>
        </w:rPr>
      </w:pPr>
    </w:p>
    <w:p w14:paraId="7F74FC97" w14:textId="4F2EF793" w:rsidR="00F7665B" w:rsidRDefault="001D3DE7" w:rsidP="001D3DE7">
      <w:pPr>
        <w:jc w:val="both"/>
        <w:rPr>
          <w:i/>
          <w:szCs w:val="20"/>
        </w:rPr>
      </w:pPr>
      <w:r w:rsidRPr="00C00D06">
        <w:rPr>
          <w:i/>
          <w:szCs w:val="20"/>
        </w:rPr>
        <w:t xml:space="preserve">- </w:t>
      </w:r>
      <w:bookmarkStart w:id="3" w:name="_Hlk128733931"/>
      <w:r w:rsidR="008039F7">
        <w:rPr>
          <w:i/>
          <w:szCs w:val="20"/>
        </w:rPr>
        <w:t>Lutowy</w:t>
      </w:r>
      <w:r w:rsidR="00250E18">
        <w:rPr>
          <w:i/>
          <w:szCs w:val="20"/>
        </w:rPr>
        <w:t xml:space="preserve"> odczyt BIK Indeksu Popytu na Kredyty Mieszkaniowe </w:t>
      </w:r>
      <w:r w:rsidR="00364F0D">
        <w:rPr>
          <w:i/>
          <w:szCs w:val="20"/>
        </w:rPr>
        <w:t xml:space="preserve">nadal </w:t>
      </w:r>
      <w:r w:rsidR="00DF5AFA">
        <w:rPr>
          <w:i/>
          <w:szCs w:val="20"/>
        </w:rPr>
        <w:t>potwierdza</w:t>
      </w:r>
      <w:r w:rsidR="003A1A09">
        <w:rPr>
          <w:i/>
          <w:szCs w:val="20"/>
        </w:rPr>
        <w:t xml:space="preserve"> obserwowane już przez cały ubiegły rok zjawisko</w:t>
      </w:r>
      <w:r w:rsidR="00250E18">
        <w:rPr>
          <w:i/>
          <w:szCs w:val="20"/>
        </w:rPr>
        <w:t xml:space="preserve"> </w:t>
      </w:r>
      <w:r w:rsidR="003A1A09">
        <w:rPr>
          <w:i/>
          <w:szCs w:val="20"/>
        </w:rPr>
        <w:t xml:space="preserve">istotnego </w:t>
      </w:r>
      <w:r w:rsidR="00636328">
        <w:rPr>
          <w:i/>
          <w:szCs w:val="20"/>
        </w:rPr>
        <w:t>ograniczenia</w:t>
      </w:r>
      <w:r w:rsidR="003A1A09">
        <w:rPr>
          <w:i/>
          <w:szCs w:val="20"/>
        </w:rPr>
        <w:t xml:space="preserve"> popytu na kredyty mieszkaniowe.</w:t>
      </w:r>
      <w:r w:rsidR="000D253F">
        <w:rPr>
          <w:i/>
          <w:szCs w:val="20"/>
        </w:rPr>
        <w:t xml:space="preserve"> </w:t>
      </w:r>
      <w:bookmarkEnd w:id="3"/>
      <w:r w:rsidR="003A1A09">
        <w:rPr>
          <w:i/>
          <w:szCs w:val="20"/>
        </w:rPr>
        <w:t xml:space="preserve">Jednak </w:t>
      </w:r>
      <w:bookmarkStart w:id="4" w:name="_Hlk128735211"/>
      <w:r w:rsidR="003A1A09">
        <w:rPr>
          <w:i/>
          <w:szCs w:val="20"/>
        </w:rPr>
        <w:t>z</w:t>
      </w:r>
      <w:r w:rsidR="00D4141B">
        <w:rPr>
          <w:i/>
          <w:szCs w:val="20"/>
        </w:rPr>
        <w:t xml:space="preserve"> uwagi na </w:t>
      </w:r>
      <w:r w:rsidR="00364F0D">
        <w:rPr>
          <w:i/>
          <w:szCs w:val="20"/>
        </w:rPr>
        <w:t xml:space="preserve">to, że w kolejnych miesiącach będziemy </w:t>
      </w:r>
      <w:r w:rsidR="00F7665B">
        <w:rPr>
          <w:i/>
          <w:szCs w:val="20"/>
        </w:rPr>
        <w:t xml:space="preserve">odnosić </w:t>
      </w:r>
      <w:r w:rsidR="00364F0D">
        <w:rPr>
          <w:i/>
          <w:szCs w:val="20"/>
        </w:rPr>
        <w:t>się do analogicznych miesięcy 2022 r.</w:t>
      </w:r>
      <w:r w:rsidR="003A460F">
        <w:rPr>
          <w:i/>
          <w:szCs w:val="20"/>
        </w:rPr>
        <w:t>,</w:t>
      </w:r>
      <w:r w:rsidR="00364F0D">
        <w:rPr>
          <w:i/>
          <w:szCs w:val="20"/>
        </w:rPr>
        <w:t xml:space="preserve"> </w:t>
      </w:r>
      <w:r w:rsidR="00F7665B">
        <w:rPr>
          <w:i/>
          <w:szCs w:val="20"/>
        </w:rPr>
        <w:t xml:space="preserve">czyli do okresu </w:t>
      </w:r>
      <w:r w:rsidR="00364F0D">
        <w:rPr>
          <w:i/>
          <w:szCs w:val="20"/>
        </w:rPr>
        <w:t>w który</w:t>
      </w:r>
      <w:r w:rsidR="00636328">
        <w:rPr>
          <w:i/>
          <w:szCs w:val="20"/>
        </w:rPr>
        <w:t xml:space="preserve">m </w:t>
      </w:r>
      <w:r w:rsidR="00364F0D">
        <w:rPr>
          <w:i/>
          <w:szCs w:val="20"/>
        </w:rPr>
        <w:t xml:space="preserve">rozpoczął się spadek </w:t>
      </w:r>
      <w:r w:rsidR="00636328">
        <w:rPr>
          <w:i/>
          <w:szCs w:val="20"/>
        </w:rPr>
        <w:t xml:space="preserve">poziomu popytu </w:t>
      </w:r>
      <w:r w:rsidR="00364F0D">
        <w:rPr>
          <w:i/>
          <w:szCs w:val="20"/>
        </w:rPr>
        <w:t>w porównaniu do roku 2021</w:t>
      </w:r>
      <w:bookmarkEnd w:id="4"/>
      <w:r w:rsidR="00364F0D">
        <w:rPr>
          <w:i/>
          <w:szCs w:val="20"/>
        </w:rPr>
        <w:t xml:space="preserve">, </w:t>
      </w:r>
      <w:r w:rsidR="00832EFB">
        <w:rPr>
          <w:i/>
          <w:szCs w:val="20"/>
        </w:rPr>
        <w:t>zadziała efekt statystyczny. To właśnie</w:t>
      </w:r>
      <w:r w:rsidR="00364F0D">
        <w:rPr>
          <w:i/>
          <w:szCs w:val="20"/>
        </w:rPr>
        <w:t xml:space="preserve"> </w:t>
      </w:r>
      <w:r w:rsidR="00D4141B">
        <w:rPr>
          <w:i/>
          <w:szCs w:val="20"/>
        </w:rPr>
        <w:t xml:space="preserve">efekt </w:t>
      </w:r>
      <w:r w:rsidR="00364F0D">
        <w:rPr>
          <w:i/>
          <w:szCs w:val="20"/>
        </w:rPr>
        <w:t>statystyczny</w:t>
      </w:r>
      <w:r w:rsidR="00D4141B">
        <w:rPr>
          <w:i/>
          <w:szCs w:val="20"/>
        </w:rPr>
        <w:t xml:space="preserve"> </w:t>
      </w:r>
      <w:r w:rsidR="00832EFB">
        <w:rPr>
          <w:i/>
          <w:szCs w:val="20"/>
        </w:rPr>
        <w:t xml:space="preserve">powoduje, że </w:t>
      </w:r>
      <w:r w:rsidR="00D4141B">
        <w:rPr>
          <w:i/>
          <w:szCs w:val="20"/>
        </w:rPr>
        <w:t xml:space="preserve">wartość Indeksu </w:t>
      </w:r>
      <w:r w:rsidR="00364F0D">
        <w:rPr>
          <w:i/>
          <w:szCs w:val="20"/>
        </w:rPr>
        <w:t>rośnie</w:t>
      </w:r>
      <w:r w:rsidR="003A460F">
        <w:rPr>
          <w:i/>
          <w:szCs w:val="20"/>
        </w:rPr>
        <w:t xml:space="preserve"> (choć wciąż pozostaje ujemny)</w:t>
      </w:r>
      <w:r w:rsidR="00364F0D">
        <w:rPr>
          <w:i/>
          <w:szCs w:val="20"/>
        </w:rPr>
        <w:t xml:space="preserve"> i będzie </w:t>
      </w:r>
      <w:r w:rsidR="00F7665B">
        <w:rPr>
          <w:i/>
          <w:szCs w:val="20"/>
        </w:rPr>
        <w:t>rósł</w:t>
      </w:r>
      <w:r w:rsidR="00336BCC">
        <w:rPr>
          <w:i/>
          <w:szCs w:val="20"/>
        </w:rPr>
        <w:t xml:space="preserve"> w kolejnych miesiącach</w:t>
      </w:r>
      <w:r w:rsidR="003A1A09">
        <w:rPr>
          <w:i/>
          <w:szCs w:val="20"/>
        </w:rPr>
        <w:t xml:space="preserve">. </w:t>
      </w:r>
      <w:r w:rsidR="00A90B66">
        <w:rPr>
          <w:i/>
          <w:szCs w:val="20"/>
        </w:rPr>
        <w:t xml:space="preserve">To, że indeks </w:t>
      </w:r>
      <w:r w:rsidR="00832EFB">
        <w:rPr>
          <w:i/>
          <w:szCs w:val="20"/>
        </w:rPr>
        <w:t>rośnie</w:t>
      </w:r>
      <w:r w:rsidR="003A460F">
        <w:rPr>
          <w:i/>
          <w:szCs w:val="20"/>
        </w:rPr>
        <w:t>,</w:t>
      </w:r>
      <w:r w:rsidR="00832EFB">
        <w:rPr>
          <w:i/>
          <w:szCs w:val="20"/>
        </w:rPr>
        <w:t xml:space="preserve"> nie oznacza </w:t>
      </w:r>
      <w:r w:rsidR="003A460F">
        <w:rPr>
          <w:i/>
          <w:szCs w:val="20"/>
        </w:rPr>
        <w:t xml:space="preserve">jeszcze </w:t>
      </w:r>
      <w:r w:rsidR="00A90B66">
        <w:rPr>
          <w:i/>
          <w:szCs w:val="20"/>
        </w:rPr>
        <w:t>ożywienia popytu na rynku kredytów mieszkaniowych.</w:t>
      </w:r>
      <w:r w:rsidR="00364F0D">
        <w:rPr>
          <w:i/>
          <w:szCs w:val="20"/>
        </w:rPr>
        <w:t xml:space="preserve"> Raczej </w:t>
      </w:r>
      <w:r w:rsidR="00832EFB">
        <w:rPr>
          <w:i/>
          <w:szCs w:val="20"/>
        </w:rPr>
        <w:t>pokazuje to</w:t>
      </w:r>
      <w:r w:rsidR="00364F0D">
        <w:rPr>
          <w:i/>
          <w:szCs w:val="20"/>
        </w:rPr>
        <w:t xml:space="preserve"> stabilizację popytu na niskim poziomie. </w:t>
      </w:r>
      <w:bookmarkStart w:id="5" w:name="_Hlk128734172"/>
      <w:r w:rsidR="00A90B66">
        <w:rPr>
          <w:i/>
          <w:szCs w:val="20"/>
        </w:rPr>
        <w:t>Symptomem poprawy będzie dopiero dodatni odczyt indeksu</w:t>
      </w:r>
      <w:r w:rsidR="008039F7">
        <w:rPr>
          <w:i/>
          <w:szCs w:val="20"/>
        </w:rPr>
        <w:t xml:space="preserve">, który będzie oznaczał, że w danym miesiącu złożono zapytania na wyższą kwotę niż w analogicznym miesiącu </w:t>
      </w:r>
      <w:r w:rsidR="003A460F">
        <w:rPr>
          <w:i/>
          <w:szCs w:val="20"/>
        </w:rPr>
        <w:t xml:space="preserve">poprzedniego </w:t>
      </w:r>
      <w:r w:rsidR="008039F7">
        <w:rPr>
          <w:i/>
          <w:szCs w:val="20"/>
        </w:rPr>
        <w:t>roku</w:t>
      </w:r>
      <w:r w:rsidR="00A90B66">
        <w:rPr>
          <w:i/>
          <w:szCs w:val="20"/>
        </w:rPr>
        <w:t xml:space="preserve">. </w:t>
      </w:r>
    </w:p>
    <w:bookmarkEnd w:id="5"/>
    <w:p w14:paraId="76BBDA5D" w14:textId="5FD20184" w:rsidR="00F7665B" w:rsidRDefault="00832EFB" w:rsidP="001D3DE7">
      <w:pPr>
        <w:jc w:val="both"/>
        <w:rPr>
          <w:i/>
          <w:szCs w:val="20"/>
        </w:rPr>
      </w:pPr>
      <w:r>
        <w:rPr>
          <w:i/>
          <w:szCs w:val="20"/>
        </w:rPr>
        <w:t>Na bieżąco w</w:t>
      </w:r>
      <w:r w:rsidR="00A90B66">
        <w:rPr>
          <w:i/>
          <w:szCs w:val="20"/>
        </w:rPr>
        <w:t xml:space="preserve">arto </w:t>
      </w:r>
      <w:r w:rsidR="008039F7">
        <w:rPr>
          <w:i/>
          <w:szCs w:val="20"/>
        </w:rPr>
        <w:t>więc</w:t>
      </w:r>
      <w:r w:rsidR="00A90B66">
        <w:rPr>
          <w:i/>
          <w:szCs w:val="20"/>
        </w:rPr>
        <w:t xml:space="preserve"> </w:t>
      </w:r>
      <w:r w:rsidR="00364F0D">
        <w:rPr>
          <w:i/>
          <w:szCs w:val="20"/>
        </w:rPr>
        <w:t xml:space="preserve">bardziej </w:t>
      </w:r>
      <w:r w:rsidR="00A90B66">
        <w:rPr>
          <w:i/>
          <w:szCs w:val="20"/>
        </w:rPr>
        <w:t xml:space="preserve">śledzić </w:t>
      </w:r>
      <w:r w:rsidR="008039F7">
        <w:rPr>
          <w:i/>
          <w:szCs w:val="20"/>
        </w:rPr>
        <w:t xml:space="preserve">zachowanie </w:t>
      </w:r>
      <w:r w:rsidR="00A90B66">
        <w:rPr>
          <w:i/>
          <w:szCs w:val="20"/>
        </w:rPr>
        <w:t>dw</w:t>
      </w:r>
      <w:r w:rsidR="008039F7">
        <w:rPr>
          <w:i/>
          <w:szCs w:val="20"/>
        </w:rPr>
        <w:t>óch</w:t>
      </w:r>
      <w:r w:rsidR="00A90B66">
        <w:rPr>
          <w:i/>
          <w:szCs w:val="20"/>
        </w:rPr>
        <w:t xml:space="preserve"> komponent</w:t>
      </w:r>
      <w:r w:rsidR="008039F7">
        <w:rPr>
          <w:i/>
          <w:szCs w:val="20"/>
        </w:rPr>
        <w:t>ów</w:t>
      </w:r>
      <w:r w:rsidR="00A90B66">
        <w:rPr>
          <w:i/>
          <w:szCs w:val="20"/>
        </w:rPr>
        <w:t xml:space="preserve"> </w:t>
      </w:r>
      <w:r>
        <w:rPr>
          <w:i/>
          <w:szCs w:val="20"/>
        </w:rPr>
        <w:t xml:space="preserve">składowych </w:t>
      </w:r>
      <w:r w:rsidR="00A90B66">
        <w:rPr>
          <w:i/>
          <w:szCs w:val="20"/>
        </w:rPr>
        <w:t>Indeksu, tj. liczbę wnioskujących oraz średni</w:t>
      </w:r>
      <w:r w:rsidR="00D3773A">
        <w:rPr>
          <w:i/>
          <w:szCs w:val="20"/>
        </w:rPr>
        <w:t>ą</w:t>
      </w:r>
      <w:r w:rsidR="00A90B66">
        <w:rPr>
          <w:i/>
          <w:szCs w:val="20"/>
        </w:rPr>
        <w:t xml:space="preserve"> kwotę wnioskowanego kredytu. </w:t>
      </w:r>
      <w:r w:rsidR="008039F7">
        <w:rPr>
          <w:i/>
          <w:szCs w:val="20"/>
        </w:rPr>
        <w:t>W obecnej sytuacji</w:t>
      </w:r>
      <w:r w:rsidR="00DD2F6F">
        <w:rPr>
          <w:i/>
          <w:szCs w:val="20"/>
        </w:rPr>
        <w:t>,</w:t>
      </w:r>
      <w:r w:rsidR="008039F7">
        <w:rPr>
          <w:i/>
          <w:szCs w:val="20"/>
        </w:rPr>
        <w:t xml:space="preserve"> </w:t>
      </w:r>
      <w:r>
        <w:rPr>
          <w:i/>
          <w:szCs w:val="20"/>
        </w:rPr>
        <w:t>w mojej opinii</w:t>
      </w:r>
      <w:r w:rsidR="00DD2F6F">
        <w:rPr>
          <w:i/>
          <w:szCs w:val="20"/>
        </w:rPr>
        <w:t>,</w:t>
      </w:r>
      <w:r>
        <w:rPr>
          <w:i/>
          <w:szCs w:val="20"/>
        </w:rPr>
        <w:t xml:space="preserve"> </w:t>
      </w:r>
      <w:r w:rsidR="008039F7">
        <w:rPr>
          <w:i/>
          <w:szCs w:val="20"/>
        </w:rPr>
        <w:t xml:space="preserve">wskaźnikiem najlepiej pokazującym bieżącą sytuację popytu na kredyty mieszkaniowe </w:t>
      </w:r>
      <w:r>
        <w:rPr>
          <w:i/>
          <w:szCs w:val="20"/>
        </w:rPr>
        <w:t xml:space="preserve">jest </w:t>
      </w:r>
      <w:r w:rsidR="008039F7">
        <w:rPr>
          <w:i/>
          <w:szCs w:val="20"/>
        </w:rPr>
        <w:t xml:space="preserve">liczba osób wnioskujących o kredyt mieszkaniowy. </w:t>
      </w:r>
      <w:r w:rsidR="003A460F">
        <w:rPr>
          <w:i/>
          <w:szCs w:val="20"/>
        </w:rPr>
        <w:t>N</w:t>
      </w:r>
      <w:r w:rsidR="001F5B54" w:rsidRPr="00C00D06">
        <w:rPr>
          <w:i/>
          <w:szCs w:val="20"/>
        </w:rPr>
        <w:t xml:space="preserve">a </w:t>
      </w:r>
      <w:r w:rsidR="008039F7">
        <w:rPr>
          <w:i/>
          <w:szCs w:val="20"/>
        </w:rPr>
        <w:t>lutową</w:t>
      </w:r>
      <w:r w:rsidR="001F5B54" w:rsidRPr="00C00D06">
        <w:rPr>
          <w:i/>
          <w:szCs w:val="20"/>
        </w:rPr>
        <w:t xml:space="preserve"> wartość Indeksu negatywnie wpłyn</w:t>
      </w:r>
      <w:r w:rsidR="001F5B54">
        <w:rPr>
          <w:i/>
          <w:szCs w:val="20"/>
        </w:rPr>
        <w:t>ę</w:t>
      </w:r>
      <w:r w:rsidR="001F5B54" w:rsidRPr="00C00D06">
        <w:rPr>
          <w:i/>
          <w:szCs w:val="20"/>
        </w:rPr>
        <w:t>ł</w:t>
      </w:r>
      <w:r w:rsidR="001F5B54">
        <w:rPr>
          <w:i/>
          <w:szCs w:val="20"/>
        </w:rPr>
        <w:t xml:space="preserve">a istotnie mniejsza niż przed rokiem </w:t>
      </w:r>
      <w:r w:rsidR="001F5B54" w:rsidRPr="00C00D06">
        <w:rPr>
          <w:i/>
          <w:szCs w:val="20"/>
        </w:rPr>
        <w:t>liczb</w:t>
      </w:r>
      <w:r w:rsidR="001F5B54">
        <w:rPr>
          <w:i/>
          <w:szCs w:val="20"/>
        </w:rPr>
        <w:t>a</w:t>
      </w:r>
      <w:r w:rsidR="001F5B54" w:rsidRPr="00C00D06">
        <w:rPr>
          <w:i/>
          <w:szCs w:val="20"/>
        </w:rPr>
        <w:t xml:space="preserve"> wnioskodawców</w:t>
      </w:r>
      <w:r w:rsidR="001F5B54">
        <w:rPr>
          <w:i/>
          <w:szCs w:val="20"/>
        </w:rPr>
        <w:t xml:space="preserve">. </w:t>
      </w:r>
      <w:r>
        <w:rPr>
          <w:i/>
          <w:szCs w:val="20"/>
        </w:rPr>
        <w:t xml:space="preserve">Bowiem </w:t>
      </w:r>
      <w:bookmarkStart w:id="6" w:name="_Hlk128737221"/>
      <w:r>
        <w:rPr>
          <w:i/>
          <w:szCs w:val="20"/>
        </w:rPr>
        <w:t>w</w:t>
      </w:r>
      <w:r w:rsidR="00A90B66">
        <w:rPr>
          <w:i/>
          <w:szCs w:val="20"/>
        </w:rPr>
        <w:t xml:space="preserve"> </w:t>
      </w:r>
      <w:r w:rsidR="00EE6560">
        <w:rPr>
          <w:i/>
          <w:szCs w:val="20"/>
        </w:rPr>
        <w:t>lutym</w:t>
      </w:r>
      <w:r w:rsidR="00A90B66">
        <w:rPr>
          <w:i/>
          <w:szCs w:val="20"/>
        </w:rPr>
        <w:t xml:space="preserve"> 2023</w:t>
      </w:r>
      <w:r w:rsidR="00F7665B">
        <w:rPr>
          <w:i/>
          <w:szCs w:val="20"/>
        </w:rPr>
        <w:t xml:space="preserve"> r.</w:t>
      </w:r>
      <w:r w:rsidR="00A90B66">
        <w:rPr>
          <w:i/>
          <w:szCs w:val="20"/>
        </w:rPr>
        <w:t xml:space="preserve"> o kredyt wnioskowało 1</w:t>
      </w:r>
      <w:r w:rsidR="008039F7">
        <w:rPr>
          <w:i/>
          <w:szCs w:val="20"/>
        </w:rPr>
        <w:t>9</w:t>
      </w:r>
      <w:r w:rsidR="00A90B66">
        <w:rPr>
          <w:i/>
          <w:szCs w:val="20"/>
        </w:rPr>
        <w:t>,</w:t>
      </w:r>
      <w:r w:rsidR="008039F7">
        <w:rPr>
          <w:i/>
          <w:szCs w:val="20"/>
        </w:rPr>
        <w:t>02</w:t>
      </w:r>
      <w:r w:rsidR="00A90B66">
        <w:rPr>
          <w:i/>
          <w:szCs w:val="20"/>
        </w:rPr>
        <w:t xml:space="preserve"> tys. osób, </w:t>
      </w:r>
      <w:r w:rsidR="00F7665B">
        <w:rPr>
          <w:i/>
          <w:szCs w:val="20"/>
        </w:rPr>
        <w:t>czyli</w:t>
      </w:r>
      <w:r w:rsidR="00A90B66">
        <w:rPr>
          <w:i/>
          <w:szCs w:val="20"/>
        </w:rPr>
        <w:t xml:space="preserve"> mniej </w:t>
      </w:r>
      <w:r w:rsidR="00853A9D">
        <w:rPr>
          <w:i/>
          <w:szCs w:val="20"/>
        </w:rPr>
        <w:t xml:space="preserve">o </w:t>
      </w:r>
      <w:r w:rsidR="008039F7">
        <w:rPr>
          <w:i/>
          <w:szCs w:val="20"/>
        </w:rPr>
        <w:t>37,4</w:t>
      </w:r>
      <w:r w:rsidR="00D3773A">
        <w:rPr>
          <w:i/>
          <w:szCs w:val="20"/>
        </w:rPr>
        <w:t xml:space="preserve">% niż w </w:t>
      </w:r>
      <w:r w:rsidR="008039F7">
        <w:rPr>
          <w:i/>
          <w:szCs w:val="20"/>
        </w:rPr>
        <w:t>lutym</w:t>
      </w:r>
      <w:r w:rsidR="00D3773A">
        <w:rPr>
          <w:i/>
          <w:szCs w:val="20"/>
        </w:rPr>
        <w:t xml:space="preserve"> 2022 r. </w:t>
      </w:r>
      <w:r>
        <w:rPr>
          <w:i/>
          <w:szCs w:val="20"/>
        </w:rPr>
        <w:t>i</w:t>
      </w:r>
      <w:r w:rsidR="00D3773A">
        <w:rPr>
          <w:i/>
          <w:szCs w:val="20"/>
        </w:rPr>
        <w:t xml:space="preserve"> aż o </w:t>
      </w:r>
      <w:r w:rsidR="001F5B54">
        <w:rPr>
          <w:i/>
          <w:szCs w:val="20"/>
        </w:rPr>
        <w:t>6</w:t>
      </w:r>
      <w:r w:rsidR="008039F7">
        <w:rPr>
          <w:i/>
          <w:szCs w:val="20"/>
        </w:rPr>
        <w:t>0,1</w:t>
      </w:r>
      <w:r w:rsidR="001F5B54">
        <w:rPr>
          <w:i/>
          <w:szCs w:val="20"/>
        </w:rPr>
        <w:t xml:space="preserve">% </w:t>
      </w:r>
      <w:r w:rsidR="00D3773A">
        <w:rPr>
          <w:i/>
          <w:szCs w:val="20"/>
        </w:rPr>
        <w:t xml:space="preserve">mniej niż w </w:t>
      </w:r>
      <w:r w:rsidR="008039F7">
        <w:rPr>
          <w:i/>
          <w:szCs w:val="20"/>
        </w:rPr>
        <w:t>lutym</w:t>
      </w:r>
      <w:r w:rsidR="00D3773A">
        <w:rPr>
          <w:i/>
          <w:szCs w:val="20"/>
        </w:rPr>
        <w:t xml:space="preserve"> 2021 r.</w:t>
      </w:r>
      <w:r w:rsidR="001F5B54" w:rsidRPr="001F5B54">
        <w:rPr>
          <w:i/>
          <w:szCs w:val="20"/>
        </w:rPr>
        <w:t xml:space="preserve"> </w:t>
      </w:r>
      <w:bookmarkStart w:id="7" w:name="_Hlk128736515"/>
      <w:bookmarkEnd w:id="6"/>
      <w:r w:rsidR="001F5B54">
        <w:rPr>
          <w:i/>
          <w:szCs w:val="20"/>
        </w:rPr>
        <w:t xml:space="preserve">Nadal więc </w:t>
      </w:r>
      <w:r w:rsidR="008039F7">
        <w:rPr>
          <w:i/>
          <w:szCs w:val="20"/>
        </w:rPr>
        <w:t>w lutym</w:t>
      </w:r>
      <w:r w:rsidR="00F7665B">
        <w:rPr>
          <w:i/>
          <w:szCs w:val="20"/>
        </w:rPr>
        <w:t xml:space="preserve"> br.</w:t>
      </w:r>
      <w:r w:rsidR="008039F7">
        <w:rPr>
          <w:i/>
          <w:szCs w:val="20"/>
        </w:rPr>
        <w:t xml:space="preserve"> mamy znacznie niższą</w:t>
      </w:r>
      <w:r w:rsidR="001F5B54">
        <w:rPr>
          <w:i/>
          <w:szCs w:val="20"/>
        </w:rPr>
        <w:t xml:space="preserve"> liczb</w:t>
      </w:r>
      <w:r w:rsidR="008039F7">
        <w:rPr>
          <w:i/>
          <w:szCs w:val="20"/>
        </w:rPr>
        <w:t>ę</w:t>
      </w:r>
      <w:r w:rsidR="001F5B54">
        <w:rPr>
          <w:i/>
          <w:szCs w:val="20"/>
        </w:rPr>
        <w:t xml:space="preserve"> osób wnioskujących o kredyt</w:t>
      </w:r>
      <w:r w:rsidR="008039F7">
        <w:rPr>
          <w:i/>
          <w:szCs w:val="20"/>
        </w:rPr>
        <w:t xml:space="preserve"> niż przed rokiem czy dwoma laty</w:t>
      </w:r>
      <w:r w:rsidR="001F5B54">
        <w:rPr>
          <w:i/>
          <w:szCs w:val="20"/>
        </w:rPr>
        <w:t>.</w:t>
      </w:r>
      <w:r w:rsidR="008039F7">
        <w:rPr>
          <w:i/>
          <w:szCs w:val="20"/>
        </w:rPr>
        <w:t xml:space="preserve"> </w:t>
      </w:r>
      <w:bookmarkEnd w:id="7"/>
      <w:r w:rsidR="008039F7">
        <w:rPr>
          <w:i/>
          <w:szCs w:val="20"/>
        </w:rPr>
        <w:t xml:space="preserve">Porównując liczbę wnioskujących z lutego br. nie możemy </w:t>
      </w:r>
      <w:r w:rsidR="00345D3B">
        <w:rPr>
          <w:i/>
          <w:szCs w:val="20"/>
        </w:rPr>
        <w:t xml:space="preserve">jednak </w:t>
      </w:r>
      <w:r w:rsidR="008039F7">
        <w:rPr>
          <w:i/>
          <w:szCs w:val="20"/>
        </w:rPr>
        <w:t xml:space="preserve">zapominać, że w lutym rok temu wybuchła wojna w Ukrainie, która </w:t>
      </w:r>
      <w:r w:rsidR="00364F0D">
        <w:rPr>
          <w:i/>
          <w:szCs w:val="20"/>
        </w:rPr>
        <w:t xml:space="preserve">negatywnie wpłynęła na nastroje społeczne. </w:t>
      </w:r>
    </w:p>
    <w:p w14:paraId="28E0CDDC" w14:textId="7B0AE152" w:rsidR="00A90B66" w:rsidRDefault="00345D3B" w:rsidP="00196E61">
      <w:pPr>
        <w:jc w:val="both"/>
        <w:rPr>
          <w:i/>
          <w:szCs w:val="20"/>
        </w:rPr>
      </w:pPr>
      <w:bookmarkStart w:id="8" w:name="_Hlk128737270"/>
      <w:r>
        <w:rPr>
          <w:i/>
          <w:szCs w:val="20"/>
        </w:rPr>
        <w:t xml:space="preserve">Widać już jednak pewne „światełko w tunelu”. W lutym </w:t>
      </w:r>
      <w:r w:rsidR="00646D14">
        <w:rPr>
          <w:i/>
          <w:szCs w:val="20"/>
        </w:rPr>
        <w:t xml:space="preserve">w porównaniu do stycznia br. było </w:t>
      </w:r>
      <w:r>
        <w:rPr>
          <w:i/>
          <w:szCs w:val="20"/>
        </w:rPr>
        <w:t xml:space="preserve">bowiem więcej </w:t>
      </w:r>
      <w:r w:rsidR="00646D14">
        <w:rPr>
          <w:i/>
          <w:szCs w:val="20"/>
        </w:rPr>
        <w:t xml:space="preserve">osób </w:t>
      </w:r>
      <w:r>
        <w:rPr>
          <w:i/>
          <w:szCs w:val="20"/>
        </w:rPr>
        <w:t xml:space="preserve">wnioskujących </w:t>
      </w:r>
      <w:r w:rsidR="00646D14">
        <w:rPr>
          <w:i/>
          <w:szCs w:val="20"/>
        </w:rPr>
        <w:t xml:space="preserve">o kredyt mieszkaniowy. </w:t>
      </w:r>
      <w:bookmarkEnd w:id="8"/>
      <w:r>
        <w:rPr>
          <w:i/>
          <w:szCs w:val="20"/>
        </w:rPr>
        <w:t xml:space="preserve">Jest to efekt rosnącej zdolności kredytowej, która w lutym dostała dodatkowego dużego „wspomagacza”. </w:t>
      </w:r>
      <w:bookmarkStart w:id="9" w:name="_Hlk128737316"/>
      <w:r w:rsidR="00646D14">
        <w:rPr>
          <w:i/>
          <w:szCs w:val="20"/>
        </w:rPr>
        <w:t xml:space="preserve">Była </w:t>
      </w:r>
      <w:r>
        <w:rPr>
          <w:i/>
          <w:szCs w:val="20"/>
        </w:rPr>
        <w:t xml:space="preserve">nim </w:t>
      </w:r>
      <w:r w:rsidR="00646D14">
        <w:rPr>
          <w:i/>
          <w:szCs w:val="20"/>
        </w:rPr>
        <w:t xml:space="preserve">ogłoszona 7 lutego br. </w:t>
      </w:r>
      <w:r>
        <w:rPr>
          <w:i/>
          <w:szCs w:val="20"/>
        </w:rPr>
        <w:t xml:space="preserve">zmiana podejścia UKNF </w:t>
      </w:r>
      <w:r w:rsidR="00196E61">
        <w:rPr>
          <w:i/>
          <w:szCs w:val="20"/>
        </w:rPr>
        <w:t xml:space="preserve">do szacowania wysokości bufora dotyczącego ryzyka stopy procentowej. </w:t>
      </w:r>
      <w:bookmarkEnd w:id="9"/>
      <w:r w:rsidR="00196E61">
        <w:rPr>
          <w:i/>
          <w:szCs w:val="20"/>
        </w:rPr>
        <w:t xml:space="preserve">W nowym Stanowisku czytamy, że </w:t>
      </w:r>
      <w:r w:rsidR="00646D14">
        <w:rPr>
          <w:i/>
          <w:szCs w:val="20"/>
        </w:rPr>
        <w:t>n</w:t>
      </w:r>
      <w:r w:rsidR="00646D14" w:rsidRPr="00345D3B">
        <w:rPr>
          <w:i/>
          <w:szCs w:val="20"/>
        </w:rPr>
        <w:t>ajniższy minimalny poziom bufora tj. 2,5 p.p. powinien mieć zastosowanie dla kredytów o</w:t>
      </w:r>
      <w:r w:rsidR="00646D14">
        <w:rPr>
          <w:i/>
          <w:szCs w:val="20"/>
        </w:rPr>
        <w:t xml:space="preserve"> okresowo</w:t>
      </w:r>
      <w:r w:rsidR="00646D14" w:rsidRPr="00345D3B">
        <w:rPr>
          <w:i/>
          <w:szCs w:val="20"/>
        </w:rPr>
        <w:t xml:space="preserve"> stałej stopie procentowej</w:t>
      </w:r>
      <w:r w:rsidR="00646D14">
        <w:rPr>
          <w:i/>
          <w:szCs w:val="20"/>
        </w:rPr>
        <w:t>, a w</w:t>
      </w:r>
      <w:r w:rsidR="00646D14" w:rsidRPr="00345D3B">
        <w:rPr>
          <w:i/>
          <w:szCs w:val="20"/>
        </w:rPr>
        <w:t xml:space="preserve"> przypadku kredytów oprocentowanych zmienną stopą procentową powinien zostać zastosowany adekwatnie </w:t>
      </w:r>
      <w:r w:rsidR="00646D14" w:rsidRPr="00345D3B">
        <w:rPr>
          <w:i/>
          <w:szCs w:val="20"/>
        </w:rPr>
        <w:lastRenderedPageBreak/>
        <w:t>wyższy poziom bufora</w:t>
      </w:r>
      <w:r w:rsidR="00646D14">
        <w:rPr>
          <w:i/>
          <w:szCs w:val="20"/>
        </w:rPr>
        <w:t>”</w:t>
      </w:r>
      <w:r w:rsidR="00646D14" w:rsidRPr="00345D3B">
        <w:rPr>
          <w:i/>
          <w:szCs w:val="20"/>
        </w:rPr>
        <w:t>.</w:t>
      </w:r>
      <w:r w:rsidR="00646D14">
        <w:rPr>
          <w:rFonts w:ascii="Calibri" w:hAnsi="Calibri" w:cs="Calibri"/>
          <w:color w:val="606060"/>
          <w:shd w:val="clear" w:color="auto" w:fill="FFFFFF"/>
        </w:rPr>
        <w:t> </w:t>
      </w:r>
      <w:r w:rsidR="00196E61">
        <w:rPr>
          <w:i/>
          <w:szCs w:val="20"/>
        </w:rPr>
        <w:t xml:space="preserve"> To znowelizowane podejście </w:t>
      </w:r>
      <w:r w:rsidR="00646D14" w:rsidRPr="007A3AAB">
        <w:rPr>
          <w:i/>
          <w:szCs w:val="20"/>
        </w:rPr>
        <w:t>ma duże znaczenie dla popytu na kredyty mieszkaniowe</w:t>
      </w:r>
      <w:r w:rsidR="00196E61">
        <w:rPr>
          <w:i/>
          <w:szCs w:val="20"/>
        </w:rPr>
        <w:t xml:space="preserve"> zwłaszcza, </w:t>
      </w:r>
      <w:r w:rsidR="00646D14" w:rsidRPr="007A3AAB">
        <w:rPr>
          <w:i/>
          <w:szCs w:val="20"/>
        </w:rPr>
        <w:t>że część banków w ogóle zaprzestała udzielania kredytów na zmienną stopę, a w tych bankach</w:t>
      </w:r>
      <w:r w:rsidR="00646D14">
        <w:rPr>
          <w:i/>
          <w:szCs w:val="20"/>
        </w:rPr>
        <w:t>,</w:t>
      </w:r>
      <w:r w:rsidR="00646D14" w:rsidRPr="007A3AAB">
        <w:rPr>
          <w:i/>
          <w:szCs w:val="20"/>
        </w:rPr>
        <w:t xml:space="preserve"> w których nadal udzielane s</w:t>
      </w:r>
      <w:r w:rsidR="00646D14">
        <w:rPr>
          <w:i/>
          <w:szCs w:val="20"/>
        </w:rPr>
        <w:t>ą</w:t>
      </w:r>
      <w:r w:rsidR="00646D14" w:rsidRPr="007A3AAB">
        <w:rPr>
          <w:i/>
          <w:szCs w:val="20"/>
        </w:rPr>
        <w:t xml:space="preserve"> kredyty na zmienną </w:t>
      </w:r>
      <w:r w:rsidR="00646D14">
        <w:rPr>
          <w:i/>
          <w:szCs w:val="20"/>
        </w:rPr>
        <w:t>st</w:t>
      </w:r>
      <w:r w:rsidR="00646D14" w:rsidRPr="007A3AAB">
        <w:rPr>
          <w:i/>
          <w:szCs w:val="20"/>
        </w:rPr>
        <w:t>op</w:t>
      </w:r>
      <w:r w:rsidR="00646D14">
        <w:rPr>
          <w:i/>
          <w:szCs w:val="20"/>
        </w:rPr>
        <w:t>ę,</w:t>
      </w:r>
      <w:r w:rsidR="00646D14" w:rsidRPr="007A3AAB">
        <w:rPr>
          <w:i/>
          <w:szCs w:val="20"/>
        </w:rPr>
        <w:t xml:space="preserve"> ich odsetek z miesiąca na miesiąc spada. </w:t>
      </w:r>
      <w:r w:rsidR="00646D14" w:rsidRPr="00345D3B">
        <w:rPr>
          <w:i/>
          <w:szCs w:val="20"/>
        </w:rPr>
        <w:t xml:space="preserve"> </w:t>
      </w:r>
    </w:p>
    <w:p w14:paraId="2CD4216C" w14:textId="639C7C32" w:rsidR="00832EFB" w:rsidRDefault="00196E61" w:rsidP="001D3DE7">
      <w:pPr>
        <w:jc w:val="both"/>
        <w:rPr>
          <w:i/>
          <w:szCs w:val="20"/>
        </w:rPr>
      </w:pPr>
      <w:r>
        <w:rPr>
          <w:i/>
          <w:szCs w:val="20"/>
        </w:rPr>
        <w:t>Czynnikiem, który w</w:t>
      </w:r>
      <w:r w:rsidR="001F5B54">
        <w:rPr>
          <w:i/>
          <w:szCs w:val="20"/>
        </w:rPr>
        <w:t xml:space="preserve"> najbliższym okresie </w:t>
      </w:r>
      <w:r>
        <w:rPr>
          <w:i/>
          <w:szCs w:val="20"/>
        </w:rPr>
        <w:t xml:space="preserve">może </w:t>
      </w:r>
      <w:r w:rsidR="001F5B54">
        <w:rPr>
          <w:i/>
          <w:szCs w:val="20"/>
        </w:rPr>
        <w:t xml:space="preserve">negatywnie </w:t>
      </w:r>
      <w:r>
        <w:rPr>
          <w:i/>
          <w:szCs w:val="20"/>
        </w:rPr>
        <w:t xml:space="preserve">wpłynąć </w:t>
      </w:r>
      <w:r w:rsidR="001F5B54">
        <w:rPr>
          <w:i/>
          <w:szCs w:val="20"/>
        </w:rPr>
        <w:t>na popyt na kredyty mieszkaniowe</w:t>
      </w:r>
      <w:r w:rsidR="007A3AAB" w:rsidRPr="007A3AAB">
        <w:rPr>
          <w:i/>
          <w:szCs w:val="20"/>
        </w:rPr>
        <w:t xml:space="preserve"> </w:t>
      </w:r>
      <w:r>
        <w:rPr>
          <w:i/>
          <w:szCs w:val="20"/>
        </w:rPr>
        <w:t xml:space="preserve">jest paradoksalnie </w:t>
      </w:r>
      <w:r w:rsidR="001F5B54">
        <w:rPr>
          <w:i/>
          <w:szCs w:val="20"/>
        </w:rPr>
        <w:t xml:space="preserve">planowany nowy rządowy program wsparcia nabywania mieszkań na kredyt z oprocentowaniem 2%. </w:t>
      </w:r>
      <w:r>
        <w:rPr>
          <w:i/>
          <w:szCs w:val="20"/>
        </w:rPr>
        <w:t>C</w:t>
      </w:r>
      <w:r w:rsidR="001F5B54">
        <w:rPr>
          <w:i/>
          <w:szCs w:val="20"/>
        </w:rPr>
        <w:t xml:space="preserve">zęść osób może </w:t>
      </w:r>
      <w:r>
        <w:rPr>
          <w:i/>
          <w:szCs w:val="20"/>
        </w:rPr>
        <w:t xml:space="preserve">bowiem </w:t>
      </w:r>
      <w:r w:rsidR="001F5B54">
        <w:rPr>
          <w:i/>
          <w:szCs w:val="20"/>
        </w:rPr>
        <w:t xml:space="preserve">wstrzymać się z decyzjami zakupowymi i sięganiem po kredyt do momentu uruchomienia programu. </w:t>
      </w:r>
      <w:r w:rsidR="004B4400">
        <w:rPr>
          <w:i/>
          <w:szCs w:val="20"/>
        </w:rPr>
        <w:t>Natomiast p</w:t>
      </w:r>
      <w:r w:rsidR="001F5B54">
        <w:rPr>
          <w:i/>
          <w:szCs w:val="20"/>
        </w:rPr>
        <w:t xml:space="preserve">o jego uruchomieniu może być to </w:t>
      </w:r>
      <w:r w:rsidR="007A3AAB">
        <w:rPr>
          <w:i/>
          <w:szCs w:val="20"/>
        </w:rPr>
        <w:t>kolejny</w:t>
      </w:r>
      <w:r w:rsidR="001F5B54">
        <w:rPr>
          <w:i/>
          <w:szCs w:val="20"/>
        </w:rPr>
        <w:t xml:space="preserve"> </w:t>
      </w:r>
      <w:r>
        <w:rPr>
          <w:i/>
          <w:szCs w:val="20"/>
        </w:rPr>
        <w:t xml:space="preserve">impuls </w:t>
      </w:r>
      <w:r w:rsidR="001F5B54">
        <w:rPr>
          <w:i/>
          <w:szCs w:val="20"/>
        </w:rPr>
        <w:t xml:space="preserve">pozytywnie oddziałujący </w:t>
      </w:r>
      <w:r w:rsidR="00BB59C6">
        <w:rPr>
          <w:i/>
          <w:szCs w:val="20"/>
        </w:rPr>
        <w:t>na wzrost popytu na kredyty mieszkaniowe</w:t>
      </w:r>
      <w:r w:rsidR="007A3AAB">
        <w:rPr>
          <w:i/>
          <w:szCs w:val="20"/>
        </w:rPr>
        <w:t xml:space="preserve">. </w:t>
      </w:r>
    </w:p>
    <w:p w14:paraId="44815B1D" w14:textId="055578C3" w:rsidR="001D3DE7" w:rsidRPr="00C00D06" w:rsidRDefault="001E05A2" w:rsidP="001D3DE7">
      <w:pPr>
        <w:jc w:val="both"/>
        <w:rPr>
          <w:szCs w:val="20"/>
        </w:rPr>
      </w:pPr>
      <w:r>
        <w:rPr>
          <w:i/>
          <w:szCs w:val="20"/>
        </w:rPr>
        <w:t>O</w:t>
      </w:r>
      <w:r w:rsidR="007A3AAB">
        <w:rPr>
          <w:i/>
          <w:szCs w:val="20"/>
        </w:rPr>
        <w:t xml:space="preserve">becnie na popyt na kredyty mieszkaniowe mają wpływ dwa przeciwstawne zjawiska: wzrost zdolności kredytowej (czynnik pozytywny) i </w:t>
      </w:r>
      <w:r w:rsidR="00832EFB">
        <w:rPr>
          <w:i/>
          <w:szCs w:val="20"/>
        </w:rPr>
        <w:t xml:space="preserve">możliwe </w:t>
      </w:r>
      <w:r w:rsidR="007A3AAB">
        <w:rPr>
          <w:i/>
          <w:szCs w:val="20"/>
        </w:rPr>
        <w:t>wstrzymywanie się przed zaciągnięciem kredytu do momentu uruchomienia rządowego programu</w:t>
      </w:r>
      <w:r w:rsidR="001A2655">
        <w:rPr>
          <w:i/>
          <w:szCs w:val="20"/>
        </w:rPr>
        <w:t xml:space="preserve"> </w:t>
      </w:r>
      <w:r w:rsidR="007A3AAB">
        <w:rPr>
          <w:i/>
          <w:szCs w:val="20"/>
        </w:rPr>
        <w:t>(czynnik negatywny)</w:t>
      </w:r>
      <w:r w:rsidR="00541DBA">
        <w:rPr>
          <w:i/>
          <w:szCs w:val="20"/>
        </w:rPr>
        <w:t>,</w:t>
      </w:r>
      <w:r w:rsidR="007A3AAB">
        <w:rPr>
          <w:i/>
          <w:szCs w:val="20"/>
        </w:rPr>
        <w:t xml:space="preserve"> w kolejnych miesiącach sytuacja będzie bardzo dynamiczna </w:t>
      </w:r>
      <w:r w:rsidR="001D3DE7" w:rsidRPr="00C00D06">
        <w:rPr>
          <w:i/>
          <w:szCs w:val="20"/>
        </w:rPr>
        <w:t xml:space="preserve">– </w:t>
      </w:r>
      <w:r w:rsidR="001D3DE7" w:rsidRPr="00C00D06">
        <w:rPr>
          <w:szCs w:val="20"/>
        </w:rPr>
        <w:t xml:space="preserve">mówi prof. Waldemar Rogowski, główny analityk </w:t>
      </w:r>
      <w:r w:rsidR="009C4547">
        <w:rPr>
          <w:szCs w:val="20"/>
        </w:rPr>
        <w:t>Grupy BIK.</w:t>
      </w:r>
    </w:p>
    <w:p w14:paraId="31914ABE" w14:textId="77777777" w:rsidR="001D3DE7" w:rsidRPr="00C00D06" w:rsidRDefault="001D3DE7" w:rsidP="001D3DE7">
      <w:pPr>
        <w:jc w:val="both"/>
        <w:rPr>
          <w:szCs w:val="20"/>
        </w:rPr>
      </w:pPr>
    </w:p>
    <w:p w14:paraId="2DED2162" w14:textId="4A8202B2" w:rsidR="001D3DE7" w:rsidRDefault="000937E2" w:rsidP="001D3DE7">
      <w:pPr>
        <w:spacing w:after="160" w:line="259" w:lineRule="auto"/>
        <w:rPr>
          <w:sz w:val="22"/>
        </w:rPr>
      </w:pPr>
      <w:r>
        <w:rPr>
          <w:noProof/>
        </w:rPr>
        <w:drawing>
          <wp:inline distT="0" distB="0" distL="0" distR="0" wp14:anchorId="4B755577" wp14:editId="3466A7ED">
            <wp:extent cx="5760720" cy="2515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594" w14:textId="77777777" w:rsidR="001D3DE7" w:rsidRPr="00C00D06" w:rsidRDefault="001D3DE7" w:rsidP="001D3DE7">
      <w:pPr>
        <w:jc w:val="both"/>
        <w:rPr>
          <w:sz w:val="16"/>
          <w:szCs w:val="16"/>
        </w:rPr>
      </w:pPr>
      <w:r w:rsidRPr="00C00D06">
        <w:rPr>
          <w:sz w:val="16"/>
          <w:szCs w:val="16"/>
        </w:rPr>
        <w:t xml:space="preserve">Aktualne informacje o rynku kredytowym prezentujemy na stronie </w:t>
      </w:r>
      <w:hyperlink r:id="rId11" w:history="1">
        <w:r w:rsidRPr="00C00D06">
          <w:rPr>
            <w:rStyle w:val="Hipercze"/>
            <w:sz w:val="16"/>
            <w:szCs w:val="16"/>
          </w:rPr>
          <w:t xml:space="preserve">Analizy rynkowe </w:t>
        </w:r>
      </w:hyperlink>
      <w:r w:rsidRPr="00C00D06">
        <w:rPr>
          <w:sz w:val="16"/>
          <w:szCs w:val="16"/>
        </w:rPr>
        <w:t xml:space="preserve">oraz w </w:t>
      </w:r>
      <w:hyperlink r:id="rId12" w:history="1">
        <w:r w:rsidRPr="00C00D06">
          <w:rPr>
            <w:rStyle w:val="Hipercze"/>
            <w:sz w:val="16"/>
            <w:szCs w:val="16"/>
          </w:rPr>
          <w:t>Newsletterze kredytowym BIK</w:t>
        </w:r>
      </w:hyperlink>
      <w:r w:rsidRPr="00C00D06">
        <w:rPr>
          <w:sz w:val="16"/>
          <w:szCs w:val="16"/>
        </w:rPr>
        <w:t>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B5FDB02" w14:textId="77777777" w:rsidR="00FB22EA" w:rsidRPr="00D61CB3" w:rsidRDefault="00FB22EA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10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10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6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Baza BIK zawiera informacje o 164 mln rachunków należących do 25 mln klientów indywidualnych oraz 1,4 mln firm, w tym o 845 tys. mikroprzedsiębiorców prowadzących działalność gospodarczą. BIK posiada najwyższe kompetencje w zakresie </w:t>
      </w:r>
      <w:hyperlink r:id="rId17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11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11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3A460F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2F6CB6" w:rsidRDefault="00000000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8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928A" w14:textId="77777777" w:rsidR="0084308B" w:rsidRDefault="0084308B" w:rsidP="00866834">
      <w:r>
        <w:separator/>
      </w:r>
    </w:p>
    <w:p w14:paraId="0467683E" w14:textId="77777777" w:rsidR="0084308B" w:rsidRDefault="0084308B"/>
  </w:endnote>
  <w:endnote w:type="continuationSeparator" w:id="0">
    <w:p w14:paraId="187DA4C7" w14:textId="77777777" w:rsidR="0084308B" w:rsidRDefault="0084308B" w:rsidP="00866834">
      <w:r>
        <w:continuationSeparator/>
      </w:r>
    </w:p>
    <w:p w14:paraId="27272AB0" w14:textId="77777777" w:rsidR="0084308B" w:rsidRDefault="00843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D719" w14:textId="77777777" w:rsidR="0084308B" w:rsidRDefault="0084308B" w:rsidP="00866834">
      <w:r>
        <w:separator/>
      </w:r>
    </w:p>
    <w:p w14:paraId="2F90D6EA" w14:textId="77777777" w:rsidR="0084308B" w:rsidRDefault="0084308B"/>
  </w:footnote>
  <w:footnote w:type="continuationSeparator" w:id="0">
    <w:p w14:paraId="06D3F7DB" w14:textId="77777777" w:rsidR="0084308B" w:rsidRDefault="0084308B" w:rsidP="00866834">
      <w:r>
        <w:continuationSeparator/>
      </w:r>
    </w:p>
    <w:p w14:paraId="0CD841B0" w14:textId="77777777" w:rsidR="0084308B" w:rsidRDefault="008430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9DC"/>
    <w:rsid w:val="00010682"/>
    <w:rsid w:val="0001284E"/>
    <w:rsid w:val="000133E5"/>
    <w:rsid w:val="0001644B"/>
    <w:rsid w:val="00016952"/>
    <w:rsid w:val="0002470B"/>
    <w:rsid w:val="00036506"/>
    <w:rsid w:val="000407B1"/>
    <w:rsid w:val="00041E7C"/>
    <w:rsid w:val="00051AF1"/>
    <w:rsid w:val="000604A4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B0755"/>
    <w:rsid w:val="000D073E"/>
    <w:rsid w:val="000D253F"/>
    <w:rsid w:val="000D5993"/>
    <w:rsid w:val="000D7AD5"/>
    <w:rsid w:val="000E3C74"/>
    <w:rsid w:val="00102C68"/>
    <w:rsid w:val="0010407D"/>
    <w:rsid w:val="001149A6"/>
    <w:rsid w:val="001266A3"/>
    <w:rsid w:val="0013027F"/>
    <w:rsid w:val="001336D3"/>
    <w:rsid w:val="001354FA"/>
    <w:rsid w:val="0014528E"/>
    <w:rsid w:val="00162D9C"/>
    <w:rsid w:val="001661AF"/>
    <w:rsid w:val="001718BB"/>
    <w:rsid w:val="00171AC4"/>
    <w:rsid w:val="0017730C"/>
    <w:rsid w:val="00183759"/>
    <w:rsid w:val="00184906"/>
    <w:rsid w:val="001872A7"/>
    <w:rsid w:val="00192AD1"/>
    <w:rsid w:val="00193AB4"/>
    <w:rsid w:val="00194C6A"/>
    <w:rsid w:val="00196E61"/>
    <w:rsid w:val="001A01EF"/>
    <w:rsid w:val="001A1682"/>
    <w:rsid w:val="001A2655"/>
    <w:rsid w:val="001A37E7"/>
    <w:rsid w:val="001B043C"/>
    <w:rsid w:val="001B3E2D"/>
    <w:rsid w:val="001B46C6"/>
    <w:rsid w:val="001D0DED"/>
    <w:rsid w:val="001D1404"/>
    <w:rsid w:val="001D253F"/>
    <w:rsid w:val="001D265A"/>
    <w:rsid w:val="001D3DE7"/>
    <w:rsid w:val="001E05A2"/>
    <w:rsid w:val="001E4E47"/>
    <w:rsid w:val="001F597F"/>
    <w:rsid w:val="001F5B54"/>
    <w:rsid w:val="001F6BED"/>
    <w:rsid w:val="002105B8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D5F"/>
    <w:rsid w:val="00260665"/>
    <w:rsid w:val="00263BB5"/>
    <w:rsid w:val="00271B37"/>
    <w:rsid w:val="00281392"/>
    <w:rsid w:val="002971C2"/>
    <w:rsid w:val="002A63FD"/>
    <w:rsid w:val="002B3EAC"/>
    <w:rsid w:val="002B3FE4"/>
    <w:rsid w:val="002C3CDB"/>
    <w:rsid w:val="002D190A"/>
    <w:rsid w:val="002D1CE5"/>
    <w:rsid w:val="002D48BE"/>
    <w:rsid w:val="002D4B49"/>
    <w:rsid w:val="002D745D"/>
    <w:rsid w:val="002E2235"/>
    <w:rsid w:val="002E3E55"/>
    <w:rsid w:val="002E68B9"/>
    <w:rsid w:val="002F1502"/>
    <w:rsid w:val="002F2D97"/>
    <w:rsid w:val="002F39DD"/>
    <w:rsid w:val="002F4540"/>
    <w:rsid w:val="002F7017"/>
    <w:rsid w:val="00300DB3"/>
    <w:rsid w:val="00301E1C"/>
    <w:rsid w:val="00315358"/>
    <w:rsid w:val="0031648A"/>
    <w:rsid w:val="00331554"/>
    <w:rsid w:val="00335F9F"/>
    <w:rsid w:val="00336BCC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839D6"/>
    <w:rsid w:val="003853CC"/>
    <w:rsid w:val="00387C34"/>
    <w:rsid w:val="00393A63"/>
    <w:rsid w:val="003A1A09"/>
    <w:rsid w:val="003A460F"/>
    <w:rsid w:val="003A6B00"/>
    <w:rsid w:val="003C5672"/>
    <w:rsid w:val="003C79A3"/>
    <w:rsid w:val="003D2D7E"/>
    <w:rsid w:val="003F4BA3"/>
    <w:rsid w:val="003F64AF"/>
    <w:rsid w:val="00401B32"/>
    <w:rsid w:val="00413DA9"/>
    <w:rsid w:val="00414487"/>
    <w:rsid w:val="004146A9"/>
    <w:rsid w:val="004216FB"/>
    <w:rsid w:val="00421FA2"/>
    <w:rsid w:val="004335ED"/>
    <w:rsid w:val="004463B6"/>
    <w:rsid w:val="004478B7"/>
    <w:rsid w:val="00451F91"/>
    <w:rsid w:val="004563EB"/>
    <w:rsid w:val="00464740"/>
    <w:rsid w:val="004767B5"/>
    <w:rsid w:val="00481CFA"/>
    <w:rsid w:val="0048408C"/>
    <w:rsid w:val="00490399"/>
    <w:rsid w:val="004A2397"/>
    <w:rsid w:val="004B18C0"/>
    <w:rsid w:val="004B4400"/>
    <w:rsid w:val="004C17A7"/>
    <w:rsid w:val="004C4026"/>
    <w:rsid w:val="004C44D3"/>
    <w:rsid w:val="004C4C22"/>
    <w:rsid w:val="004E7CE1"/>
    <w:rsid w:val="004F00FD"/>
    <w:rsid w:val="004F5805"/>
    <w:rsid w:val="004F5815"/>
    <w:rsid w:val="005000C3"/>
    <w:rsid w:val="0050297C"/>
    <w:rsid w:val="00507F2B"/>
    <w:rsid w:val="00513DC6"/>
    <w:rsid w:val="00526CDD"/>
    <w:rsid w:val="00533908"/>
    <w:rsid w:val="005377DC"/>
    <w:rsid w:val="00540014"/>
    <w:rsid w:val="00541CDA"/>
    <w:rsid w:val="00541DBA"/>
    <w:rsid w:val="00543D89"/>
    <w:rsid w:val="005450F2"/>
    <w:rsid w:val="005468AD"/>
    <w:rsid w:val="00572764"/>
    <w:rsid w:val="005842F8"/>
    <w:rsid w:val="00584732"/>
    <w:rsid w:val="00590159"/>
    <w:rsid w:val="005A0EEF"/>
    <w:rsid w:val="005A65ED"/>
    <w:rsid w:val="005C0301"/>
    <w:rsid w:val="005C0F42"/>
    <w:rsid w:val="005D030A"/>
    <w:rsid w:val="005D1495"/>
    <w:rsid w:val="005D5096"/>
    <w:rsid w:val="005D7891"/>
    <w:rsid w:val="005F0A9A"/>
    <w:rsid w:val="005F74B8"/>
    <w:rsid w:val="006059D5"/>
    <w:rsid w:val="0061285D"/>
    <w:rsid w:val="00620D7B"/>
    <w:rsid w:val="00625B1C"/>
    <w:rsid w:val="00636328"/>
    <w:rsid w:val="00637C84"/>
    <w:rsid w:val="00644A0E"/>
    <w:rsid w:val="00646D14"/>
    <w:rsid w:val="0065021F"/>
    <w:rsid w:val="00652510"/>
    <w:rsid w:val="00652B03"/>
    <w:rsid w:val="0065792E"/>
    <w:rsid w:val="00657B6A"/>
    <w:rsid w:val="00661E64"/>
    <w:rsid w:val="00662269"/>
    <w:rsid w:val="00666192"/>
    <w:rsid w:val="00673B10"/>
    <w:rsid w:val="00674254"/>
    <w:rsid w:val="006747BD"/>
    <w:rsid w:val="0068438B"/>
    <w:rsid w:val="00685450"/>
    <w:rsid w:val="006A2C5F"/>
    <w:rsid w:val="006A65EC"/>
    <w:rsid w:val="006A6B2C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6E82"/>
    <w:rsid w:val="00777163"/>
    <w:rsid w:val="00777AED"/>
    <w:rsid w:val="00794B24"/>
    <w:rsid w:val="00795992"/>
    <w:rsid w:val="007A002C"/>
    <w:rsid w:val="007A098A"/>
    <w:rsid w:val="007A1B69"/>
    <w:rsid w:val="007A3AAB"/>
    <w:rsid w:val="007B58FC"/>
    <w:rsid w:val="007D0B3B"/>
    <w:rsid w:val="007D51C2"/>
    <w:rsid w:val="007E5C6A"/>
    <w:rsid w:val="007F06DA"/>
    <w:rsid w:val="008023FE"/>
    <w:rsid w:val="008039F7"/>
    <w:rsid w:val="00805DF6"/>
    <w:rsid w:val="00806733"/>
    <w:rsid w:val="00806C2E"/>
    <w:rsid w:val="008202BA"/>
    <w:rsid w:val="00821F16"/>
    <w:rsid w:val="00825123"/>
    <w:rsid w:val="00827B66"/>
    <w:rsid w:val="008301AA"/>
    <w:rsid w:val="00832EFB"/>
    <w:rsid w:val="008350ED"/>
    <w:rsid w:val="00841A2A"/>
    <w:rsid w:val="0084308B"/>
    <w:rsid w:val="0084396A"/>
    <w:rsid w:val="008456D4"/>
    <w:rsid w:val="00847E9D"/>
    <w:rsid w:val="00853A9D"/>
    <w:rsid w:val="00854B7B"/>
    <w:rsid w:val="00866834"/>
    <w:rsid w:val="008678A4"/>
    <w:rsid w:val="00867CB5"/>
    <w:rsid w:val="00871C9E"/>
    <w:rsid w:val="00872D28"/>
    <w:rsid w:val="00873CF9"/>
    <w:rsid w:val="00881712"/>
    <w:rsid w:val="008917A1"/>
    <w:rsid w:val="00896DEF"/>
    <w:rsid w:val="00897945"/>
    <w:rsid w:val="008A0898"/>
    <w:rsid w:val="008A42FB"/>
    <w:rsid w:val="008B2062"/>
    <w:rsid w:val="008B4DBE"/>
    <w:rsid w:val="008C1729"/>
    <w:rsid w:val="008C75DD"/>
    <w:rsid w:val="008E04B2"/>
    <w:rsid w:val="008E44F2"/>
    <w:rsid w:val="008F209D"/>
    <w:rsid w:val="008F6B32"/>
    <w:rsid w:val="00910872"/>
    <w:rsid w:val="00912FC5"/>
    <w:rsid w:val="00914B33"/>
    <w:rsid w:val="009154F2"/>
    <w:rsid w:val="0092387C"/>
    <w:rsid w:val="00933A79"/>
    <w:rsid w:val="00934659"/>
    <w:rsid w:val="00943829"/>
    <w:rsid w:val="00947069"/>
    <w:rsid w:val="00954066"/>
    <w:rsid w:val="00954F60"/>
    <w:rsid w:val="00970D51"/>
    <w:rsid w:val="00975E58"/>
    <w:rsid w:val="00996627"/>
    <w:rsid w:val="009A1CEE"/>
    <w:rsid w:val="009C0766"/>
    <w:rsid w:val="009C2A87"/>
    <w:rsid w:val="009C4547"/>
    <w:rsid w:val="009C4AB9"/>
    <w:rsid w:val="009C56EE"/>
    <w:rsid w:val="009D2B0D"/>
    <w:rsid w:val="009D3E46"/>
    <w:rsid w:val="009D4C4D"/>
    <w:rsid w:val="009D75D3"/>
    <w:rsid w:val="009E4A7E"/>
    <w:rsid w:val="009F5B2B"/>
    <w:rsid w:val="009F64ED"/>
    <w:rsid w:val="00A11066"/>
    <w:rsid w:val="00A11219"/>
    <w:rsid w:val="00A3057A"/>
    <w:rsid w:val="00A350A7"/>
    <w:rsid w:val="00A36F46"/>
    <w:rsid w:val="00A4087C"/>
    <w:rsid w:val="00A4363C"/>
    <w:rsid w:val="00A46BE2"/>
    <w:rsid w:val="00A50C8D"/>
    <w:rsid w:val="00A60509"/>
    <w:rsid w:val="00A612D8"/>
    <w:rsid w:val="00A72BE7"/>
    <w:rsid w:val="00A73FDB"/>
    <w:rsid w:val="00A7543E"/>
    <w:rsid w:val="00A82827"/>
    <w:rsid w:val="00A85D65"/>
    <w:rsid w:val="00A87DF9"/>
    <w:rsid w:val="00A87FFE"/>
    <w:rsid w:val="00A90B66"/>
    <w:rsid w:val="00A94C25"/>
    <w:rsid w:val="00AA1576"/>
    <w:rsid w:val="00AA436B"/>
    <w:rsid w:val="00AA46D3"/>
    <w:rsid w:val="00AA4FB6"/>
    <w:rsid w:val="00AB44FD"/>
    <w:rsid w:val="00AB5DDB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3176"/>
    <w:rsid w:val="00B010F5"/>
    <w:rsid w:val="00B21D57"/>
    <w:rsid w:val="00B26DDD"/>
    <w:rsid w:val="00B35B63"/>
    <w:rsid w:val="00B3797A"/>
    <w:rsid w:val="00B50905"/>
    <w:rsid w:val="00B56575"/>
    <w:rsid w:val="00B60E67"/>
    <w:rsid w:val="00B61F8A"/>
    <w:rsid w:val="00B65DDC"/>
    <w:rsid w:val="00B70D20"/>
    <w:rsid w:val="00B85ED1"/>
    <w:rsid w:val="00B976FD"/>
    <w:rsid w:val="00BB3391"/>
    <w:rsid w:val="00BB4A80"/>
    <w:rsid w:val="00BB59C6"/>
    <w:rsid w:val="00BB75B6"/>
    <w:rsid w:val="00BC55AC"/>
    <w:rsid w:val="00BC6ABB"/>
    <w:rsid w:val="00BD5534"/>
    <w:rsid w:val="00BD5EA8"/>
    <w:rsid w:val="00BD6260"/>
    <w:rsid w:val="00BD6AE4"/>
    <w:rsid w:val="00BE5C9B"/>
    <w:rsid w:val="00BF191F"/>
    <w:rsid w:val="00BF7242"/>
    <w:rsid w:val="00C00D06"/>
    <w:rsid w:val="00C06041"/>
    <w:rsid w:val="00C158E2"/>
    <w:rsid w:val="00C15FB1"/>
    <w:rsid w:val="00C16C2C"/>
    <w:rsid w:val="00C22D2A"/>
    <w:rsid w:val="00C25E6E"/>
    <w:rsid w:val="00C26640"/>
    <w:rsid w:val="00C277A7"/>
    <w:rsid w:val="00C44C19"/>
    <w:rsid w:val="00C47889"/>
    <w:rsid w:val="00C5064F"/>
    <w:rsid w:val="00C537EB"/>
    <w:rsid w:val="00C57C5D"/>
    <w:rsid w:val="00C63331"/>
    <w:rsid w:val="00C74378"/>
    <w:rsid w:val="00CA59D7"/>
    <w:rsid w:val="00CC4824"/>
    <w:rsid w:val="00CD113F"/>
    <w:rsid w:val="00CD3939"/>
    <w:rsid w:val="00CE03AC"/>
    <w:rsid w:val="00CF012F"/>
    <w:rsid w:val="00CF3E86"/>
    <w:rsid w:val="00CF51E1"/>
    <w:rsid w:val="00CF7ECD"/>
    <w:rsid w:val="00D005B3"/>
    <w:rsid w:val="00D0425E"/>
    <w:rsid w:val="00D06D36"/>
    <w:rsid w:val="00D1358D"/>
    <w:rsid w:val="00D141CD"/>
    <w:rsid w:val="00D16362"/>
    <w:rsid w:val="00D17C4A"/>
    <w:rsid w:val="00D23E01"/>
    <w:rsid w:val="00D244E2"/>
    <w:rsid w:val="00D32992"/>
    <w:rsid w:val="00D37160"/>
    <w:rsid w:val="00D3773A"/>
    <w:rsid w:val="00D40690"/>
    <w:rsid w:val="00D4141B"/>
    <w:rsid w:val="00D42905"/>
    <w:rsid w:val="00D446D7"/>
    <w:rsid w:val="00D44783"/>
    <w:rsid w:val="00D46C47"/>
    <w:rsid w:val="00D628F5"/>
    <w:rsid w:val="00D6359F"/>
    <w:rsid w:val="00D64E2F"/>
    <w:rsid w:val="00D74831"/>
    <w:rsid w:val="00D772CF"/>
    <w:rsid w:val="00D85799"/>
    <w:rsid w:val="00D92A09"/>
    <w:rsid w:val="00DA6E81"/>
    <w:rsid w:val="00DA7420"/>
    <w:rsid w:val="00DB54EC"/>
    <w:rsid w:val="00DC698D"/>
    <w:rsid w:val="00DD2F6F"/>
    <w:rsid w:val="00DD3C67"/>
    <w:rsid w:val="00DD60D6"/>
    <w:rsid w:val="00DD77D2"/>
    <w:rsid w:val="00DE08B4"/>
    <w:rsid w:val="00DE2663"/>
    <w:rsid w:val="00DE42E7"/>
    <w:rsid w:val="00DF4A60"/>
    <w:rsid w:val="00DF5AFA"/>
    <w:rsid w:val="00E03125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39B5"/>
    <w:rsid w:val="00E458B3"/>
    <w:rsid w:val="00E53739"/>
    <w:rsid w:val="00E72CC9"/>
    <w:rsid w:val="00E8069E"/>
    <w:rsid w:val="00E81E48"/>
    <w:rsid w:val="00E86BFC"/>
    <w:rsid w:val="00E86ED1"/>
    <w:rsid w:val="00EA3A41"/>
    <w:rsid w:val="00EC7B6F"/>
    <w:rsid w:val="00ED34ED"/>
    <w:rsid w:val="00EE176C"/>
    <w:rsid w:val="00EE493C"/>
    <w:rsid w:val="00EE6560"/>
    <w:rsid w:val="00EF3CDE"/>
    <w:rsid w:val="00F00843"/>
    <w:rsid w:val="00F04772"/>
    <w:rsid w:val="00F12476"/>
    <w:rsid w:val="00F13DDF"/>
    <w:rsid w:val="00F21E8C"/>
    <w:rsid w:val="00F26ECD"/>
    <w:rsid w:val="00F323D1"/>
    <w:rsid w:val="00F63136"/>
    <w:rsid w:val="00F7665B"/>
    <w:rsid w:val="00F82D3F"/>
    <w:rsid w:val="00F85535"/>
    <w:rsid w:val="00F91582"/>
    <w:rsid w:val="00FB1A13"/>
    <w:rsid w:val="00FB22EA"/>
    <w:rsid w:val="00FB31CA"/>
    <w:rsid w:val="00FC494D"/>
    <w:rsid w:val="00FD52BA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k.pl" TargetMode="External"/><Relationship Id="rId18" Type="http://schemas.openxmlformats.org/officeDocument/2006/relationships/hyperlink" Target="mailto:aleksandra.stankiewicz-billewicz@bik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edia.bik.pl/publikacje/4314" TargetMode="External"/><Relationship Id="rId17" Type="http://schemas.openxmlformats.org/officeDocument/2006/relationships/hyperlink" Target="https://media.bik.pl/analizy-rynkow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hub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analizy-rynkow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ik.pl/klienci-indywidualni/alerty-bik?utm_source=gazeta.pl&amp;utm_medium=artykul&amp;utm_campaign=alerty" TargetMode="External"/><Relationship Id="rId23" Type="http://schemas.openxmlformats.org/officeDocument/2006/relationships/footer" Target="footer3.xml"/><Relationship Id="rId10" Type="http://schemas.openxmlformats.org/officeDocument/2006/relationships/image" Target="cid:image016.jpg@01D94C22.5A62E550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bik.pl/moj-bi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5</cp:revision>
  <cp:lastPrinted>2021-05-26T12:27:00Z</cp:lastPrinted>
  <dcterms:created xsi:type="dcterms:W3CDTF">2023-03-03T10:03:00Z</dcterms:created>
  <dcterms:modified xsi:type="dcterms:W3CDTF">2023-03-07T13:20:00Z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2023-03-01T11:57:31Z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2b61fcf4-7382-423a-996a-06bb73f3c1fe</vt:lpwstr>
  </property>
  <property fmtid="{D5CDD505-2E9C-101B-9397-08002B2CF9AE}" pid="13" name="MSIP_Label_1391a466-f120-4668-a5e5-7af4d8a99d82_ContentBits">
    <vt:lpwstr>2</vt:lpwstr>
  </property>
</Properties>
</file>