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9FA3" w14:textId="030D0883" w:rsidR="00867C1B" w:rsidRDefault="00E84C73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 xml:space="preserve">Mitsubishi Motors ogłasza </w:t>
      </w:r>
      <w:r w:rsidR="00B90D2F">
        <w:rPr>
          <w:rFonts w:ascii="MMC OFFICE" w:eastAsia="ヒラギノ角ゴ Std W4" w:hAnsi="MMC OFFICE"/>
          <w:b/>
          <w:sz w:val="28"/>
          <w:szCs w:val="28"/>
        </w:rPr>
        <w:t>ś</w:t>
      </w:r>
      <w:r>
        <w:rPr>
          <w:rFonts w:ascii="MMC OFFICE" w:eastAsia="ヒラギノ角ゴ Std W4" w:hAnsi="MMC OFFICE"/>
          <w:b/>
          <w:sz w:val="28"/>
          <w:szCs w:val="28"/>
        </w:rPr>
        <w:t xml:space="preserve">redniookresowy plan biznesowy – Challenge 2025 – DEFINIUJĄCY INICJATYWY dalszEGO rozwOJU i wprowadzenie </w:t>
      </w:r>
      <w:r w:rsidR="00B90D2F">
        <w:rPr>
          <w:rFonts w:ascii="MMC OFFICE" w:eastAsia="ヒラギノ角ゴ Std W4" w:hAnsi="MMC OFFICE"/>
          <w:b/>
          <w:sz w:val="28"/>
          <w:szCs w:val="28"/>
        </w:rPr>
        <w:t xml:space="preserve">modeli </w:t>
      </w:r>
      <w:r>
        <w:rPr>
          <w:rFonts w:ascii="MMC OFFICE" w:eastAsia="ヒラギノ角ゴ Std W4" w:hAnsi="MMC OFFICE"/>
          <w:b/>
          <w:sz w:val="28"/>
          <w:szCs w:val="28"/>
        </w:rPr>
        <w:t>nowej generacji</w:t>
      </w:r>
    </w:p>
    <w:p w14:paraId="781C2028" w14:textId="77777777" w:rsidR="00867C1B" w:rsidRDefault="00E84C73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245196DA" wp14:editId="6915007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B774C5" w14:textId="77777777" w:rsidR="00867C1B" w:rsidRDefault="00867C1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196DA" id="shape_0" o:spid="_x0000_s1026" style="position:absolute;margin-left:0;margin-top:.05pt;width:425.35pt;height:2.1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" o:allowincell="f" fillcolor="#ed0000" stroked="f" strokeweight="0">
                <v:textbox>
                  <w:txbxContent>
                    <w:p w14:paraId="0DB774C5" w14:textId="77777777" w:rsidR="00867C1B" w:rsidRDefault="00867C1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6A0A869B" w14:textId="7717560B" w:rsidR="00867C1B" w:rsidRDefault="00111704">
      <w:pPr>
        <w:pStyle w:val="RDTYTUMMC"/>
      </w:pPr>
      <w:r>
        <w:rPr>
          <w:rStyle w:val="TEKSTPODSTAWOWYMMC"/>
          <w:rFonts w:eastAsia="MS Mincho"/>
          <w:b/>
        </w:rPr>
        <w:t xml:space="preserve">Firma </w:t>
      </w:r>
      <w:r w:rsidR="00E84C73" w:rsidRPr="00111704">
        <w:rPr>
          <w:rStyle w:val="TEKSTPODSTAWOWYMMC"/>
          <w:rFonts w:eastAsia="MS Mincho"/>
          <w:b/>
          <w:bCs/>
        </w:rPr>
        <w:t>Mitsubishi Motors Corporation ogłosił</w:t>
      </w:r>
      <w:r w:rsidRPr="00111704">
        <w:rPr>
          <w:rStyle w:val="TEKSTPODSTAWOWYMMC"/>
          <w:rFonts w:eastAsia="MS Mincho"/>
          <w:b/>
          <w:bCs/>
        </w:rPr>
        <w:t>a</w:t>
      </w:r>
      <w:r w:rsidR="00E84C73" w:rsidRPr="00111704">
        <w:rPr>
          <w:rStyle w:val="TEKSTPODSTAWOWYMMC"/>
          <w:rFonts w:eastAsia="MS Mincho"/>
          <w:b/>
          <w:bCs/>
        </w:rPr>
        <w:t xml:space="preserve"> trzyletni średniookresowy plan biznesowy na lata fiskalne 2023-2025 – „Challenge 2025” – który koncentruje się na wyzwaniach dalszego wzrostu i </w:t>
      </w:r>
      <w:r w:rsidRPr="00111704">
        <w:rPr>
          <w:rStyle w:val="TEKSTPODSTAWOWYMMC"/>
          <w:rFonts w:eastAsia="MS Mincho"/>
          <w:b/>
          <w:bCs/>
        </w:rPr>
        <w:t xml:space="preserve">modeli </w:t>
      </w:r>
      <w:r w:rsidR="00E84C73" w:rsidRPr="00111704">
        <w:rPr>
          <w:rStyle w:val="TEKSTPODSTAWOWYMMC"/>
          <w:rFonts w:eastAsia="MS Mincho"/>
          <w:b/>
          <w:bCs/>
        </w:rPr>
        <w:t>następnej generacji.</w:t>
      </w:r>
    </w:p>
    <w:p w14:paraId="30DACDB0" w14:textId="41E65B06" w:rsidR="00867C1B" w:rsidRDefault="00E84C73">
      <w:pPr>
        <w:pStyle w:val="RDTYTUMMC"/>
      </w:pPr>
      <w:r>
        <w:rPr>
          <w:rStyle w:val="TEKSTPODSTAWOWYMMC"/>
          <w:rFonts w:eastAsia="MS Mincho"/>
        </w:rPr>
        <w:t xml:space="preserve">Plan oprze się na zredukowanej i elastycznej strukturze biznesowej, wprowadzonej dzięki uchwalonym do tej pory reformom organizacyjnym. Pozwoli </w:t>
      </w:r>
      <w:r w:rsidR="00CA60CF">
        <w:rPr>
          <w:rStyle w:val="TEKSTPODSTAWOWYMMC"/>
          <w:rFonts w:eastAsia="MS Mincho"/>
        </w:rPr>
        <w:t xml:space="preserve">ona </w:t>
      </w:r>
      <w:r>
        <w:rPr>
          <w:rStyle w:val="TEKSTPODSTAWOWYMMC"/>
          <w:rFonts w:eastAsia="MS Mincho"/>
        </w:rPr>
        <w:t>na ustanowienie stabilnej bazy przychodów poprzez selekcję i koncentrację zasobów w ramach strategii regionaln</w:t>
      </w:r>
      <w:r w:rsidR="00CA60CF">
        <w:rPr>
          <w:rStyle w:val="TEKSTPODSTAWOWYMMC"/>
          <w:rFonts w:eastAsia="MS Mincho"/>
        </w:rPr>
        <w:t>ej</w:t>
      </w:r>
      <w:r>
        <w:rPr>
          <w:rStyle w:val="TEKSTPODSTAWOWYMMC"/>
          <w:rFonts w:eastAsia="MS Mincho"/>
        </w:rPr>
        <w:t xml:space="preserve"> Mitsubishi Motors oraz na kontynuację działalności zmierzającej do poprawy przychodów w całej firmie. Ponadto Mitsubishi Motors osiągnie zrównoważony wzrost dzięki wyższym i stabilnym wydatkom na prace badawczo-rozwojowe oraz wydatkom kapitałowym, które będą obejmowały zwiększone wydatki na elektryfikację, IT i działania «</w:t>
      </w:r>
      <w:proofErr w:type="spellStart"/>
      <w:r>
        <w:rPr>
          <w:rStyle w:val="TEKSTPODSTAWOWYMMC"/>
          <w:rFonts w:eastAsia="MS Mincho"/>
        </w:rPr>
        <w:t>new</w:t>
      </w:r>
      <w:proofErr w:type="spellEnd"/>
      <w:r>
        <w:rPr>
          <w:rStyle w:val="TEKSTPODSTAWOWYMMC"/>
          <w:rFonts w:eastAsia="MS Mincho"/>
        </w:rPr>
        <w:t xml:space="preserve"> business» w proporcji do wydatków ogółem.</w:t>
      </w:r>
    </w:p>
    <w:p w14:paraId="21A2BDE0" w14:textId="5781A145" w:rsidR="00867C1B" w:rsidRDefault="00E84C73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W kwestii produktów, Mitsubishi Motors będzie kontynuować prace nad </w:t>
      </w:r>
      <w:proofErr w:type="spellStart"/>
      <w:r>
        <w:rPr>
          <w:rStyle w:val="TEKSTPODSTAWOWYMMC"/>
          <w:rFonts w:eastAsia="MS Mincho"/>
        </w:rPr>
        <w:t>elektromobilnością</w:t>
      </w:r>
      <w:proofErr w:type="spellEnd"/>
      <w:r>
        <w:rPr>
          <w:rStyle w:val="TEKSTPODSTAWOWYMMC"/>
          <w:rFonts w:eastAsia="MS Mincho"/>
        </w:rPr>
        <w:t xml:space="preserve"> jako rozwiązaniem problemu zmian klimatycznych na poziomie globalnym, będzie też pracować nad osiągnięciem neutralności węglowej. Strategia regionalna firmy zakłada przyspieszenie stosowanej do tej pory selekcji i koncentracji oraz jasne określenie roli każdego regionu, a następnie odpowiednie rozdzielenie zasobów kierowniczych. W kwestii działalności handlowej, oprócz pracy nad rozbudową łańcucha wartości, Mitsubishi Motors podejmie wyzwanie związane ze sferą «</w:t>
      </w:r>
      <w:proofErr w:type="spellStart"/>
      <w:r>
        <w:rPr>
          <w:rStyle w:val="TEKSTPODSTAWOWYMMC"/>
          <w:rFonts w:eastAsia="MS Mincho"/>
        </w:rPr>
        <w:t>new</w:t>
      </w:r>
      <w:proofErr w:type="spellEnd"/>
      <w:r>
        <w:rPr>
          <w:rStyle w:val="TEKSTPODSTAWOWYMMC"/>
          <w:rFonts w:eastAsia="MS Mincho"/>
        </w:rPr>
        <w:t xml:space="preserve"> business», aby stworzyć nowe przyszłe źródła przychodów. Ponadto firma będzie budować długotrwałe relacje z klientami oparte na zaufaniu dzięki produktom i technologiom podkreślającym cechy Mitsubishi Motors oraz promować wartość marki. </w:t>
      </w:r>
    </w:p>
    <w:p w14:paraId="7B5AF591" w14:textId="77777777" w:rsidR="00867C1B" w:rsidRDefault="00E84C73">
      <w:pPr>
        <w:pStyle w:val="RDTYTUMMC"/>
      </w:pPr>
      <w:r>
        <w:rPr>
          <w:rStyle w:val="TEKSTPODSTAWOWYMMC"/>
          <w:rFonts w:eastAsia="MS Mincho"/>
        </w:rPr>
        <w:t>Główne inicjatywy planu są następujące:</w:t>
      </w:r>
    </w:p>
    <w:p w14:paraId="6B8BA88B" w14:textId="77777777" w:rsidR="00867C1B" w:rsidRDefault="00E84C73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Dążenie do osiągnięcia wielkości sprzedaży na poziomie 1,1 mln pojazdów i zysku operacyjnego w wysokości 220 mld jenów (przy marży operacyjnej 7%)</w:t>
      </w:r>
    </w:p>
    <w:p w14:paraId="67CDD9D9" w14:textId="27CBBF69" w:rsidR="00867C1B" w:rsidRDefault="00E82868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Koncentracja zarządzania</w:t>
      </w:r>
      <w:r w:rsidR="00E84C73">
        <w:rPr>
          <w:rStyle w:val="TEKSTPODSTAWOWYMMC"/>
          <w:rFonts w:eastAsia="MS Mincho"/>
        </w:rPr>
        <w:t xml:space="preserve"> zasob</w:t>
      </w:r>
      <w:r>
        <w:rPr>
          <w:rStyle w:val="TEKSTPODSTAWOWYMMC"/>
          <w:rFonts w:eastAsia="MS Mincho"/>
        </w:rPr>
        <w:t>ami</w:t>
      </w:r>
      <w:r w:rsidR="00E84C73">
        <w:rPr>
          <w:rStyle w:val="TEKSTPODSTAWOWYMMC"/>
          <w:rFonts w:eastAsia="MS Mincho"/>
        </w:rPr>
        <w:t xml:space="preserve"> w ASEAN / Oceania i zwiększ</w:t>
      </w:r>
      <w:r w:rsidR="00D36348">
        <w:rPr>
          <w:rStyle w:val="TEKSTPODSTAWOWYMMC"/>
          <w:rFonts w:eastAsia="MS Mincho"/>
        </w:rPr>
        <w:t>enie</w:t>
      </w:r>
      <w:r w:rsidR="00E84C73">
        <w:rPr>
          <w:rStyle w:val="TEKSTPODSTAWOWYMMC"/>
          <w:rFonts w:eastAsia="MS Mincho"/>
        </w:rPr>
        <w:t xml:space="preserve"> wielkoś</w:t>
      </w:r>
      <w:r w:rsidR="00D36348">
        <w:rPr>
          <w:rStyle w:val="TEKSTPODSTAWOWYMMC"/>
          <w:rFonts w:eastAsia="MS Mincho"/>
        </w:rPr>
        <w:t>ci</w:t>
      </w:r>
      <w:r w:rsidR="00E84C73">
        <w:rPr>
          <w:rStyle w:val="TEKSTPODSTAWOWYMMC"/>
          <w:rFonts w:eastAsia="MS Mincho"/>
        </w:rPr>
        <w:t xml:space="preserve"> sprzedaży, udział</w:t>
      </w:r>
      <w:r w:rsidR="00D36348">
        <w:rPr>
          <w:rStyle w:val="TEKSTPODSTAWOWYMMC"/>
          <w:rFonts w:eastAsia="MS Mincho"/>
        </w:rPr>
        <w:t>u</w:t>
      </w:r>
      <w:r w:rsidR="00E84C73">
        <w:rPr>
          <w:rStyle w:val="TEKSTPODSTAWOWYMMC"/>
          <w:rFonts w:eastAsia="MS Mincho"/>
        </w:rPr>
        <w:t xml:space="preserve"> w rynku i przychod</w:t>
      </w:r>
      <w:r w:rsidR="00D36348">
        <w:rPr>
          <w:rStyle w:val="TEKSTPODSTAWOWYMMC"/>
          <w:rFonts w:eastAsia="MS Mincho"/>
        </w:rPr>
        <w:t>ów</w:t>
      </w:r>
    </w:p>
    <w:p w14:paraId="5F2B55B0" w14:textId="4A139CD8" w:rsidR="00867C1B" w:rsidRDefault="00E84C73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 xml:space="preserve">Wprowadzenie na </w:t>
      </w:r>
      <w:r w:rsidR="00703A03">
        <w:rPr>
          <w:rStyle w:val="TEKSTPODSTAWOWYMMC"/>
          <w:rFonts w:eastAsia="MS Mincho"/>
        </w:rPr>
        <w:t xml:space="preserve">globalne </w:t>
      </w:r>
      <w:r>
        <w:rPr>
          <w:rStyle w:val="TEKSTPODSTAWOWYMMC"/>
          <w:rFonts w:eastAsia="MS Mincho"/>
        </w:rPr>
        <w:t>ryn</w:t>
      </w:r>
      <w:r w:rsidR="00703A03">
        <w:rPr>
          <w:rStyle w:val="TEKSTPODSTAWOWYMMC"/>
          <w:rFonts w:eastAsia="MS Mincho"/>
        </w:rPr>
        <w:t>ki</w:t>
      </w:r>
      <w:r>
        <w:rPr>
          <w:rStyle w:val="TEKSTPODSTAWOWYMMC"/>
          <w:rFonts w:eastAsia="MS Mincho"/>
        </w:rPr>
        <w:t xml:space="preserve"> w ciągu najbliższych pięciu lat 16 modeli (w tym dziewięć zelektryfikowanych)</w:t>
      </w:r>
    </w:p>
    <w:p w14:paraId="6E19E547" w14:textId="733454BE" w:rsidR="00867C1B" w:rsidRDefault="00E84C73" w:rsidP="00D36348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Zwiększenie inwestycji o około 30% w ciągu sześciu lat do 2028 r. w porównaniu do ostatnich sześciu lat w zakresie wydatków na badania i rozwój oraz wydatków kapitałowych</w:t>
      </w:r>
      <w:r w:rsidR="00D36348">
        <w:t xml:space="preserve"> (p</w:t>
      </w:r>
      <w:r w:rsidRPr="00D36348">
        <w:rPr>
          <w:rStyle w:val="TEKSTPODSTAWOWYMMC"/>
          <w:rFonts w:eastAsia="MS Mincho"/>
        </w:rPr>
        <w:t>rzewiduje się, że inwestycje w elektryfikację, IT i nowe przedsięwzięcia osiągną około 70% począwszy od roku obrotowego 2026)</w:t>
      </w:r>
    </w:p>
    <w:p w14:paraId="727DDA03" w14:textId="77777777" w:rsidR="00867C1B" w:rsidRDefault="00E84C73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Ograniczenie emisji gazów cieplarnianych, zmierzające do osiągnięcia neutralności węglowej</w:t>
      </w:r>
    </w:p>
    <w:p w14:paraId="6121A3CB" w14:textId="77777777" w:rsidR="00867C1B" w:rsidRDefault="00E84C73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Zainwestowanie łącznie 210 miliardów jenów do 2030 roku w podniesienie do 15 </w:t>
      </w:r>
      <w:proofErr w:type="spellStart"/>
      <w:r>
        <w:rPr>
          <w:rStyle w:val="TEKSTPODSTAWOWYMMC"/>
          <w:rFonts w:eastAsia="MS Mincho"/>
        </w:rPr>
        <w:t>GWh</w:t>
      </w:r>
      <w:proofErr w:type="spellEnd"/>
      <w:r>
        <w:rPr>
          <w:rStyle w:val="TEKSTPODSTAWOWYMMC"/>
          <w:rFonts w:eastAsia="MS Mincho"/>
        </w:rPr>
        <w:t xml:space="preserve"> sumarycznej pojemności akumulatorów trakcyjnych produkowanych pojazdów</w:t>
      </w:r>
    </w:p>
    <w:p w14:paraId="62958294" w14:textId="77777777" w:rsidR="00867C1B" w:rsidRDefault="00E84C73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Dalsze wzmocnienie powiązań z Aliansem (komplementarne współdzielenie modeli OEM, itp.)</w:t>
      </w:r>
    </w:p>
    <w:p w14:paraId="1CBF4DD2" w14:textId="77777777" w:rsidR="00867C1B" w:rsidRDefault="00E84C73">
      <w:pPr>
        <w:pStyle w:val="RDTYTUMMC"/>
        <w:numPr>
          <w:ilvl w:val="0"/>
          <w:numId w:val="1"/>
        </w:numPr>
      </w:pPr>
      <w:r>
        <w:rPr>
          <w:rStyle w:val="TEKSTPODSTAWOWYMMC"/>
          <w:rFonts w:eastAsia="MS Mincho"/>
        </w:rPr>
        <w:t>Podjęcie działań w zakresie «</w:t>
      </w:r>
      <w:proofErr w:type="spellStart"/>
      <w:r>
        <w:rPr>
          <w:rStyle w:val="TEKSTPODSTAWOWYMMC"/>
          <w:rFonts w:eastAsia="MS Mincho"/>
        </w:rPr>
        <w:t>new</w:t>
      </w:r>
      <w:proofErr w:type="spellEnd"/>
      <w:r>
        <w:rPr>
          <w:rStyle w:val="TEKSTPODSTAWOWYMMC"/>
          <w:rFonts w:eastAsia="MS Mincho"/>
        </w:rPr>
        <w:t xml:space="preserve"> business» z wykorzystaniem aktywów unikatowych dla producenta samochodów (zarządzanie energią, ponowne wykorzystanie akumulatorów, sprzedaż danych itp.)</w:t>
      </w:r>
    </w:p>
    <w:p w14:paraId="721933E6" w14:textId="77777777" w:rsidR="00867C1B" w:rsidRDefault="00867C1B">
      <w:pPr>
        <w:pStyle w:val="NormalnyWeb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14:paraId="4BE8EAC0" w14:textId="77777777" w:rsidR="00867C1B" w:rsidRDefault="00E84C73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4182ACAE" w14:textId="77777777" w:rsidR="00867C1B" w:rsidRDefault="00E84C73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4D275C63" w14:textId="77777777" w:rsidR="00867C1B" w:rsidRDefault="00867C1B">
      <w:pPr>
        <w:rPr>
          <w:rFonts w:ascii="MMCBeta5" w:eastAsia="ヒラギノ角ゴ Std W4" w:hAnsi="MMCBeta5"/>
          <w:sz w:val="18"/>
        </w:rPr>
      </w:pPr>
    </w:p>
    <w:p w14:paraId="7A101F3F" w14:textId="73C1C202" w:rsidR="00867C1B" w:rsidRDefault="00E84C73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</w:t>
      </w:r>
      <w:r w:rsidR="005B7317">
        <w:rPr>
          <w:rFonts w:ascii="MMC OFFICE" w:eastAsia="Meiryo UI" w:hAnsi="MMC OFFICE" w:cs="Calibri"/>
          <w:i/>
          <w:color w:val="000000"/>
          <w:sz w:val="12"/>
          <w:szCs w:val="12"/>
        </w:rPr>
        <w:t>Os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sowska tel. +48 609 290 133, </w:t>
      </w:r>
      <w:hyperlink r:id="rId7" w:history="1">
        <w:r w:rsidR="005B7317" w:rsidRPr="00C11989">
          <w:rPr>
            <w:rStyle w:val="Hipercze"/>
            <w:rFonts w:ascii="MMC OFFICE" w:eastAsia="Meiryo UI" w:hAnsi="MMC OFFICE" w:cs="Calibri"/>
            <w:i/>
            <w:sz w:val="12"/>
            <w:szCs w:val="12"/>
          </w:rPr>
          <w:t>kinga.l.ossowska@astara.com</w:t>
        </w:r>
      </w:hyperlink>
      <w:r w:rsidR="005B7317"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578BB98F" w14:textId="77777777" w:rsidR="00867C1B" w:rsidRDefault="00867C1B">
      <w:pPr>
        <w:jc w:val="left"/>
        <w:rPr>
          <w:rFonts w:ascii="MMC OFFICE" w:hAnsi="MMC OFFICE"/>
        </w:rPr>
      </w:pPr>
    </w:p>
    <w:p w14:paraId="265A7E97" w14:textId="77777777" w:rsidR="00867C1B" w:rsidRDefault="00867C1B">
      <w:pPr>
        <w:rPr>
          <w:rStyle w:val="czeinternetowe"/>
        </w:rPr>
      </w:pPr>
    </w:p>
    <w:p w14:paraId="78B71FF3" w14:textId="77777777" w:rsidR="00867C1B" w:rsidRDefault="00867C1B">
      <w:pPr>
        <w:jc w:val="left"/>
      </w:pPr>
    </w:p>
    <w:sectPr w:rsidR="00867C1B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7D84" w14:textId="77777777" w:rsidR="007C6A09" w:rsidRDefault="00E84C73">
      <w:pPr>
        <w:spacing w:line="240" w:lineRule="auto"/>
      </w:pPr>
      <w:r>
        <w:separator/>
      </w:r>
    </w:p>
  </w:endnote>
  <w:endnote w:type="continuationSeparator" w:id="0">
    <w:p w14:paraId="72043CC2" w14:textId="77777777" w:rsidR="007C6A09" w:rsidRDefault="00E84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8656" w14:textId="77777777" w:rsidR="007C6A09" w:rsidRDefault="00E84C73">
      <w:pPr>
        <w:spacing w:line="240" w:lineRule="auto"/>
      </w:pPr>
      <w:r>
        <w:separator/>
      </w:r>
    </w:p>
  </w:footnote>
  <w:footnote w:type="continuationSeparator" w:id="0">
    <w:p w14:paraId="4A3DABE2" w14:textId="77777777" w:rsidR="007C6A09" w:rsidRDefault="00E84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FFFC" w14:textId="77777777" w:rsidR="00867C1B" w:rsidRDefault="00E84C73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0FA07FBF" wp14:editId="1B5173B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9ABE31" w14:textId="77777777" w:rsidR="00867C1B" w:rsidRPr="005B7317" w:rsidRDefault="00E84C73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5B7317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667F4D5E" w14:textId="77777777" w:rsidR="00867C1B" w:rsidRPr="005B7317" w:rsidRDefault="00E84C73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5B7317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3CC7FABF" w14:textId="77777777" w:rsidR="00867C1B" w:rsidRDefault="00E84C73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5EEB44EE" w14:textId="77777777" w:rsidR="00867C1B" w:rsidRDefault="00E84C73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02C04C9C" w14:textId="77777777" w:rsidR="00867C1B" w:rsidRDefault="00E84C73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07FBF" id="Frame1" o:spid="_x0000_s1027" style="position:absolute;left:0;text-align:left;margin-left:194.45pt;margin-top:3.4pt;width:238.6pt;height:57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579ABE31" w14:textId="77777777" w:rsidR="00867C1B" w:rsidRPr="005B7317" w:rsidRDefault="00E84C73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5B7317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667F4D5E" w14:textId="77777777" w:rsidR="00867C1B" w:rsidRPr="005B7317" w:rsidRDefault="00E84C73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5B7317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3CC7FABF" w14:textId="77777777" w:rsidR="00867C1B" w:rsidRDefault="00E84C73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5EEB44EE" w14:textId="77777777" w:rsidR="00867C1B" w:rsidRDefault="00E84C73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02C04C9C" w14:textId="77777777" w:rsidR="00867C1B" w:rsidRDefault="00E84C73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1" behindDoc="1" locked="0" layoutInCell="0" allowOverlap="1" wp14:anchorId="1ED014B6" wp14:editId="2FB74191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4EB2B4" w14:textId="77777777" w:rsidR="00867C1B" w:rsidRDefault="00E84C73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D014B6" id="1" o:spid="_x0000_s1028" style="position:absolute;left:0;text-align:left;margin-left:20.15pt;margin-top:1.4pt;width:171.95pt;height:27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" o:allowincell="f" filled="f" stroked="f" strokeweight="0">
              <v:textbox inset="0,0,0,0">
                <w:txbxContent>
                  <w:p w14:paraId="274EB2B4" w14:textId="77777777" w:rsidR="00867C1B" w:rsidRDefault="00E84C73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9" behindDoc="1" locked="0" layoutInCell="0" allowOverlap="1" wp14:anchorId="245B1B0A" wp14:editId="56290D6C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56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B0705E" w14:textId="77777777" w:rsidR="00867C1B" w:rsidRDefault="00867C1B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B1B0A" id="2" o:spid="_x0000_s1029" style="position:absolute;left:0;text-align:left;margin-left:129.85pt;margin-top:54.95pt;width:58.05pt;height:20.65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" o:allowincell="f" filled="f" stroked="f" strokeweight="0">
              <v:textbox inset="0,0,0,0">
                <w:txbxContent>
                  <w:p w14:paraId="46B0705E" w14:textId="77777777" w:rsidR="00867C1B" w:rsidRDefault="00867C1B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4" behindDoc="1" locked="0" layoutInCell="0" allowOverlap="1" wp14:anchorId="7FF4CA50" wp14:editId="6D025659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872A4"/>
    <w:multiLevelType w:val="multilevel"/>
    <w:tmpl w:val="A34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92975A6"/>
    <w:multiLevelType w:val="multilevel"/>
    <w:tmpl w:val="46F0B5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9378487">
    <w:abstractNumId w:val="0"/>
  </w:num>
  <w:num w:numId="2" w16cid:durableId="82766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1B"/>
    <w:rsid w:val="00111704"/>
    <w:rsid w:val="005B7317"/>
    <w:rsid w:val="00703A03"/>
    <w:rsid w:val="007C6A09"/>
    <w:rsid w:val="00867C1B"/>
    <w:rsid w:val="00B90D2F"/>
    <w:rsid w:val="00CA60CF"/>
    <w:rsid w:val="00D36348"/>
    <w:rsid w:val="00E82868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C2E46"/>
  <w15:docId w15:val="{9F3B85F1-1630-4C1C-BB56-4D7BA0A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5B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a.l.ossowska@asta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7</cp:revision>
  <dcterms:created xsi:type="dcterms:W3CDTF">2023-03-21T11:06:00Z</dcterms:created>
  <dcterms:modified xsi:type="dcterms:W3CDTF">2023-03-27T11:26:00Z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