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0CB878D4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D67610">
        <w:rPr>
          <w:sz w:val="22"/>
        </w:rPr>
        <w:t>08</w:t>
      </w:r>
      <w:r w:rsidR="00263BB5" w:rsidRPr="00263BB5">
        <w:rPr>
          <w:sz w:val="22"/>
        </w:rPr>
        <w:t>.</w:t>
      </w:r>
      <w:r w:rsidR="00C537EB">
        <w:rPr>
          <w:sz w:val="22"/>
        </w:rPr>
        <w:t>0</w:t>
      </w:r>
      <w:r w:rsidR="00D67610">
        <w:rPr>
          <w:sz w:val="22"/>
        </w:rPr>
        <w:t>5</w:t>
      </w:r>
      <w:r w:rsidR="00263BB5" w:rsidRPr="00263BB5">
        <w:rPr>
          <w:sz w:val="22"/>
        </w:rPr>
        <w:t>.202</w:t>
      </w:r>
      <w:r w:rsidR="00C537EB">
        <w:rPr>
          <w:sz w:val="22"/>
        </w:rPr>
        <w:t>3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41471E92" w:rsidR="001D3DE7" w:rsidRPr="00263BB5" w:rsidRDefault="000818D8" w:rsidP="001D3DE7">
      <w:pPr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O</w:t>
      </w:r>
      <w:r w:rsidR="001D3DE7" w:rsidRPr="00C00D06">
        <w:rPr>
          <w:b/>
          <w:bCs/>
          <w:sz w:val="24"/>
          <w:szCs w:val="24"/>
        </w:rPr>
        <w:t xml:space="preserve"> </w:t>
      </w:r>
      <w:r w:rsidR="00EF146F">
        <w:rPr>
          <w:b/>
          <w:bCs/>
          <w:sz w:val="24"/>
          <w:szCs w:val="24"/>
        </w:rPr>
        <w:t>16</w:t>
      </w:r>
      <w:r w:rsidR="001D3DE7" w:rsidRPr="00C00D06">
        <w:rPr>
          <w:b/>
          <w:bCs/>
          <w:sz w:val="24"/>
          <w:szCs w:val="24"/>
        </w:rPr>
        <w:t>,</w:t>
      </w:r>
      <w:r w:rsidR="00EF146F">
        <w:rPr>
          <w:b/>
          <w:bCs/>
          <w:sz w:val="24"/>
          <w:szCs w:val="24"/>
        </w:rPr>
        <w:t>2</w:t>
      </w:r>
      <w:r w:rsidR="001D3DE7" w:rsidRPr="00C00D06">
        <w:rPr>
          <w:b/>
          <w:bCs/>
          <w:sz w:val="24"/>
          <w:szCs w:val="24"/>
        </w:rPr>
        <w:t xml:space="preserve">% </w:t>
      </w:r>
      <w:r w:rsidR="001D3DE7">
        <w:rPr>
          <w:b/>
          <w:bCs/>
          <w:sz w:val="24"/>
          <w:szCs w:val="24"/>
        </w:rPr>
        <w:t>spadła</w:t>
      </w:r>
      <w:r w:rsidR="001D3DE7" w:rsidRPr="00C00D06">
        <w:rPr>
          <w:b/>
          <w:bCs/>
          <w:sz w:val="24"/>
          <w:szCs w:val="24"/>
        </w:rPr>
        <w:t xml:space="preserve"> wartość zapytań o kredyty mieszkaniowe </w:t>
      </w:r>
      <w:r w:rsidR="00B3797A">
        <w:rPr>
          <w:b/>
          <w:bCs/>
          <w:sz w:val="24"/>
          <w:szCs w:val="24"/>
        </w:rPr>
        <w:t>w</w:t>
      </w:r>
      <w:r w:rsidR="001D3DE7" w:rsidRPr="00C00D06">
        <w:rPr>
          <w:b/>
          <w:bCs/>
          <w:sz w:val="24"/>
          <w:szCs w:val="24"/>
        </w:rPr>
        <w:t xml:space="preserve"> </w:t>
      </w:r>
      <w:r w:rsidR="00EF146F">
        <w:rPr>
          <w:b/>
          <w:bCs/>
          <w:sz w:val="24"/>
          <w:szCs w:val="24"/>
        </w:rPr>
        <w:t>kwietniu</w:t>
      </w:r>
      <w:r w:rsidR="00B3797A">
        <w:rPr>
          <w:b/>
          <w:bCs/>
          <w:sz w:val="24"/>
          <w:szCs w:val="24"/>
        </w:rPr>
        <w:t xml:space="preserve"> 202</w:t>
      </w:r>
      <w:r w:rsidR="000009DC">
        <w:rPr>
          <w:b/>
          <w:bCs/>
          <w:sz w:val="24"/>
          <w:szCs w:val="24"/>
        </w:rPr>
        <w:t>3</w:t>
      </w:r>
      <w:r w:rsidR="00B3797A">
        <w:rPr>
          <w:b/>
          <w:bCs/>
          <w:sz w:val="24"/>
          <w:szCs w:val="24"/>
        </w:rPr>
        <w:t xml:space="preserve"> r. </w:t>
      </w:r>
      <w:bookmarkStart w:id="0" w:name="_Hlk73698368"/>
      <w:r w:rsidR="001102F7">
        <w:rPr>
          <w:b/>
          <w:bCs/>
          <w:sz w:val="24"/>
          <w:szCs w:val="24"/>
        </w:rPr>
        <w:t xml:space="preserve">– informuje </w:t>
      </w:r>
      <w:r w:rsidR="001D3DE7" w:rsidRPr="00263BB5">
        <w:rPr>
          <w:b/>
          <w:bCs/>
          <w:sz w:val="23"/>
          <w:szCs w:val="23"/>
        </w:rPr>
        <w:t>BIK Indeks Popytu na Kredyty Mieszkaniowe (BIK Indeks – PKM)</w:t>
      </w:r>
      <w:r w:rsidR="001102F7">
        <w:rPr>
          <w:b/>
          <w:bCs/>
          <w:sz w:val="23"/>
          <w:szCs w:val="23"/>
        </w:rPr>
        <w:t xml:space="preserve">. </w:t>
      </w:r>
      <w:r w:rsidR="001D3DE7" w:rsidRPr="00263BB5">
        <w:rPr>
          <w:b/>
          <w:bCs/>
          <w:sz w:val="23"/>
          <w:szCs w:val="23"/>
        </w:rPr>
        <w:t>Wartość Indeksu oznacza, że w</w:t>
      </w:r>
      <w:r w:rsidR="001D3DE7">
        <w:rPr>
          <w:b/>
          <w:bCs/>
          <w:sz w:val="23"/>
          <w:szCs w:val="23"/>
        </w:rPr>
        <w:t xml:space="preserve"> </w:t>
      </w:r>
      <w:r w:rsidR="00EF146F">
        <w:rPr>
          <w:b/>
          <w:bCs/>
          <w:sz w:val="23"/>
          <w:szCs w:val="23"/>
        </w:rPr>
        <w:t>kwietniu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3</w:t>
      </w:r>
      <w:r w:rsidR="001D3DE7" w:rsidRPr="00263BB5">
        <w:rPr>
          <w:b/>
          <w:bCs/>
          <w:sz w:val="23"/>
          <w:szCs w:val="23"/>
        </w:rPr>
        <w:t xml:space="preserve"> r., w przeliczeniu na dzień roboczy, banki i SKOK-i przesłały do BIK zapytania o kredyty mieszkaniowe na kwotę </w:t>
      </w:r>
      <w:r w:rsidR="001D3DE7">
        <w:rPr>
          <w:b/>
          <w:bCs/>
          <w:sz w:val="23"/>
          <w:szCs w:val="23"/>
        </w:rPr>
        <w:t>niższą</w:t>
      </w:r>
      <w:r w:rsidR="001D3DE7" w:rsidRPr="00263BB5">
        <w:rPr>
          <w:b/>
          <w:bCs/>
          <w:sz w:val="23"/>
          <w:szCs w:val="23"/>
        </w:rPr>
        <w:t xml:space="preserve"> o </w:t>
      </w:r>
      <w:r w:rsidR="00EF146F">
        <w:rPr>
          <w:b/>
          <w:bCs/>
          <w:sz w:val="23"/>
          <w:szCs w:val="23"/>
        </w:rPr>
        <w:t>16</w:t>
      </w:r>
      <w:r w:rsidR="001D3DE7">
        <w:rPr>
          <w:b/>
          <w:bCs/>
          <w:sz w:val="23"/>
          <w:szCs w:val="23"/>
        </w:rPr>
        <w:t>,</w:t>
      </w:r>
      <w:r w:rsidR="00EF146F">
        <w:rPr>
          <w:b/>
          <w:bCs/>
          <w:sz w:val="23"/>
          <w:szCs w:val="23"/>
        </w:rPr>
        <w:t>2</w:t>
      </w:r>
      <w:r w:rsidR="001D3DE7" w:rsidRPr="00263BB5">
        <w:rPr>
          <w:b/>
          <w:bCs/>
          <w:sz w:val="23"/>
          <w:szCs w:val="23"/>
        </w:rPr>
        <w:t xml:space="preserve">% w porównaniu </w:t>
      </w:r>
      <w:r w:rsidR="001D3DE7">
        <w:rPr>
          <w:b/>
          <w:bCs/>
          <w:sz w:val="23"/>
          <w:szCs w:val="23"/>
        </w:rPr>
        <w:t>do</w:t>
      </w:r>
      <w:r w:rsidR="001D3DE7" w:rsidRPr="00263BB5">
        <w:rPr>
          <w:b/>
          <w:bCs/>
          <w:sz w:val="23"/>
          <w:szCs w:val="23"/>
        </w:rPr>
        <w:t xml:space="preserve"> </w:t>
      </w:r>
      <w:r w:rsidR="00EF146F">
        <w:rPr>
          <w:b/>
          <w:bCs/>
          <w:sz w:val="23"/>
          <w:szCs w:val="23"/>
        </w:rPr>
        <w:t>kwietnia</w:t>
      </w:r>
      <w:r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2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 xml:space="preserve">r. </w:t>
      </w:r>
    </w:p>
    <w:bookmarkEnd w:id="0"/>
    <w:p w14:paraId="4DE6BCB6" w14:textId="77777777" w:rsidR="001D3DE7" w:rsidRDefault="001D3DE7" w:rsidP="001D3DE7">
      <w:pPr>
        <w:jc w:val="both"/>
        <w:rPr>
          <w:szCs w:val="20"/>
        </w:rPr>
      </w:pPr>
    </w:p>
    <w:p w14:paraId="27E27027" w14:textId="11E4ADCF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W </w:t>
      </w:r>
      <w:r w:rsidR="00EF146F">
        <w:rPr>
          <w:szCs w:val="20"/>
        </w:rPr>
        <w:t>kwietniu</w:t>
      </w:r>
      <w:r w:rsidRPr="00C00D06">
        <w:rPr>
          <w:szCs w:val="20"/>
        </w:rPr>
        <w:t xml:space="preserve"> 202</w:t>
      </w:r>
      <w:r w:rsidR="00A73FDB">
        <w:rPr>
          <w:szCs w:val="20"/>
        </w:rPr>
        <w:t>3</w:t>
      </w:r>
      <w:r w:rsidRPr="00C00D06">
        <w:rPr>
          <w:szCs w:val="20"/>
        </w:rPr>
        <w:t xml:space="preserve"> r. o kredyt mieszkaniowy wnioskowało łącznie </w:t>
      </w:r>
      <w:r w:rsidR="005F680C">
        <w:rPr>
          <w:szCs w:val="20"/>
        </w:rPr>
        <w:t>2</w:t>
      </w:r>
      <w:r w:rsidR="00EF146F">
        <w:rPr>
          <w:szCs w:val="20"/>
        </w:rPr>
        <w:t>0</w:t>
      </w:r>
      <w:r w:rsidRPr="00C00D06">
        <w:rPr>
          <w:szCs w:val="20"/>
        </w:rPr>
        <w:t>,</w:t>
      </w:r>
      <w:r w:rsidR="00EF146F">
        <w:rPr>
          <w:szCs w:val="20"/>
        </w:rPr>
        <w:t>88</w:t>
      </w:r>
      <w:r w:rsidRPr="00C00D06">
        <w:rPr>
          <w:szCs w:val="20"/>
        </w:rPr>
        <w:t xml:space="preserve"> tys. potencjalnych kredytobiorców w porównaniu do </w:t>
      </w:r>
      <w:r w:rsidR="00EF146F">
        <w:rPr>
          <w:szCs w:val="20"/>
        </w:rPr>
        <w:t>28</w:t>
      </w:r>
      <w:r w:rsidR="00974CB7">
        <w:rPr>
          <w:szCs w:val="20"/>
        </w:rPr>
        <w:t>,4</w:t>
      </w:r>
      <w:r w:rsidR="00EF146F">
        <w:rPr>
          <w:szCs w:val="20"/>
        </w:rPr>
        <w:t>2</w:t>
      </w:r>
      <w:r w:rsidRPr="00C00D06">
        <w:rPr>
          <w:szCs w:val="20"/>
        </w:rPr>
        <w:t xml:space="preserve"> tys. rok wcześniej – jest to spadek </w:t>
      </w:r>
      <w:r w:rsidR="00194C6A">
        <w:rPr>
          <w:szCs w:val="20"/>
        </w:rPr>
        <w:t xml:space="preserve">o </w:t>
      </w:r>
      <w:r w:rsidR="00EF146F">
        <w:rPr>
          <w:szCs w:val="20"/>
        </w:rPr>
        <w:t>26</w:t>
      </w:r>
      <w:r w:rsidR="00974CB7">
        <w:rPr>
          <w:szCs w:val="20"/>
        </w:rPr>
        <w:t>,</w:t>
      </w:r>
      <w:r w:rsidR="00EF146F">
        <w:rPr>
          <w:szCs w:val="20"/>
        </w:rPr>
        <w:t>5</w:t>
      </w:r>
      <w:r w:rsidRPr="00C00D06">
        <w:rPr>
          <w:szCs w:val="20"/>
        </w:rPr>
        <w:t xml:space="preserve">%. </w:t>
      </w:r>
      <w:r w:rsidR="00EF146F">
        <w:rPr>
          <w:szCs w:val="20"/>
        </w:rPr>
        <w:t>W</w:t>
      </w:r>
      <w:r w:rsidRPr="00C00D06">
        <w:rPr>
          <w:szCs w:val="20"/>
        </w:rPr>
        <w:t xml:space="preserve"> porównaniu do </w:t>
      </w:r>
      <w:r w:rsidR="00EF146F">
        <w:rPr>
          <w:szCs w:val="20"/>
        </w:rPr>
        <w:t>marca</w:t>
      </w:r>
      <w:r w:rsidR="002D4B49">
        <w:rPr>
          <w:szCs w:val="20"/>
        </w:rPr>
        <w:t xml:space="preserve"> </w:t>
      </w:r>
      <w:r>
        <w:rPr>
          <w:szCs w:val="20"/>
        </w:rPr>
        <w:t>202</w:t>
      </w:r>
      <w:r w:rsidR="004767B5">
        <w:rPr>
          <w:szCs w:val="20"/>
        </w:rPr>
        <w:t>3</w:t>
      </w:r>
      <w:r>
        <w:rPr>
          <w:szCs w:val="20"/>
        </w:rPr>
        <w:t xml:space="preserve"> r.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liczba </w:t>
      </w:r>
      <w:r w:rsidRPr="00C00D06">
        <w:rPr>
          <w:szCs w:val="20"/>
        </w:rPr>
        <w:t xml:space="preserve">osób wnioskujących o kredyt mieszkaniowy </w:t>
      </w:r>
      <w:r w:rsidR="00EF146F">
        <w:rPr>
          <w:szCs w:val="20"/>
        </w:rPr>
        <w:t>spadła</w:t>
      </w:r>
      <w:r w:rsidRPr="00C00D06">
        <w:rPr>
          <w:szCs w:val="20"/>
        </w:rPr>
        <w:t xml:space="preserve"> o </w:t>
      </w:r>
      <w:r w:rsidR="00EF146F">
        <w:rPr>
          <w:szCs w:val="20"/>
        </w:rPr>
        <w:t>6</w:t>
      </w:r>
      <w:r>
        <w:rPr>
          <w:szCs w:val="20"/>
        </w:rPr>
        <w:t>,</w:t>
      </w:r>
      <w:r w:rsidR="00EF146F">
        <w:rPr>
          <w:szCs w:val="20"/>
        </w:rPr>
        <w:t>0</w:t>
      </w:r>
      <w:r w:rsidRPr="00C00D06">
        <w:rPr>
          <w:szCs w:val="20"/>
        </w:rPr>
        <w:t xml:space="preserve">%. </w:t>
      </w:r>
    </w:p>
    <w:p w14:paraId="34F5606F" w14:textId="3AED2371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Średnia wartość wnioskowanego kredytu </w:t>
      </w:r>
      <w:r>
        <w:rPr>
          <w:szCs w:val="20"/>
        </w:rPr>
        <w:t xml:space="preserve">mieszkaniowego </w:t>
      </w:r>
      <w:r w:rsidRPr="00C00D06">
        <w:rPr>
          <w:szCs w:val="20"/>
        </w:rPr>
        <w:t xml:space="preserve">w </w:t>
      </w:r>
      <w:r w:rsidR="00EF146F">
        <w:rPr>
          <w:szCs w:val="20"/>
        </w:rPr>
        <w:t>kwietniu</w:t>
      </w:r>
      <w:r w:rsidRPr="00C00D06">
        <w:rPr>
          <w:szCs w:val="20"/>
        </w:rPr>
        <w:t xml:space="preserve"> </w:t>
      </w:r>
      <w:r w:rsidR="001102F7">
        <w:rPr>
          <w:szCs w:val="20"/>
        </w:rPr>
        <w:t>b</w:t>
      </w:r>
      <w:r w:rsidR="00C537EB">
        <w:rPr>
          <w:szCs w:val="20"/>
        </w:rPr>
        <w:t>r.</w:t>
      </w:r>
      <w:r w:rsidRPr="00C00D06">
        <w:rPr>
          <w:szCs w:val="20"/>
        </w:rPr>
        <w:t xml:space="preserve"> wyniosła 3</w:t>
      </w:r>
      <w:r w:rsidR="00EF146F">
        <w:rPr>
          <w:szCs w:val="20"/>
        </w:rPr>
        <w:t>83</w:t>
      </w:r>
      <w:r w:rsidRPr="00C00D06">
        <w:rPr>
          <w:szCs w:val="20"/>
        </w:rPr>
        <w:t>,</w:t>
      </w:r>
      <w:r w:rsidR="00EF146F">
        <w:rPr>
          <w:szCs w:val="20"/>
        </w:rPr>
        <w:t>36</w:t>
      </w:r>
      <w:r w:rsidR="00234904">
        <w:rPr>
          <w:szCs w:val="20"/>
        </w:rPr>
        <w:t xml:space="preserve"> </w:t>
      </w:r>
      <w:r w:rsidRPr="00C00D06">
        <w:rPr>
          <w:szCs w:val="20"/>
        </w:rPr>
        <w:t xml:space="preserve">tys. zł i była </w:t>
      </w:r>
      <w:r w:rsidR="005F680C">
        <w:rPr>
          <w:szCs w:val="20"/>
        </w:rPr>
        <w:t>wyższa</w:t>
      </w:r>
      <w:r w:rsidRPr="00C00D06">
        <w:rPr>
          <w:szCs w:val="20"/>
        </w:rPr>
        <w:t xml:space="preserve"> o</w:t>
      </w:r>
      <w:r w:rsidR="002A63FD">
        <w:rPr>
          <w:szCs w:val="20"/>
        </w:rPr>
        <w:t xml:space="preserve"> </w:t>
      </w:r>
      <w:r w:rsidR="00EF146F">
        <w:rPr>
          <w:szCs w:val="20"/>
        </w:rPr>
        <w:t>8</w:t>
      </w:r>
      <w:r w:rsidR="00974CB7">
        <w:rPr>
          <w:szCs w:val="20"/>
        </w:rPr>
        <w:t>,</w:t>
      </w:r>
      <w:r w:rsidR="00EF146F">
        <w:rPr>
          <w:szCs w:val="20"/>
        </w:rPr>
        <w:t>3</w:t>
      </w:r>
      <w:r w:rsidRPr="00C00D06">
        <w:rPr>
          <w:szCs w:val="20"/>
        </w:rPr>
        <w:t xml:space="preserve">% w relacji do wartości z </w:t>
      </w:r>
      <w:r w:rsidR="00EF146F">
        <w:rPr>
          <w:szCs w:val="20"/>
        </w:rPr>
        <w:t>kwietnia</w:t>
      </w:r>
      <w:r w:rsidRPr="00C00D06">
        <w:rPr>
          <w:szCs w:val="20"/>
        </w:rPr>
        <w:t xml:space="preserve"> 202</w:t>
      </w:r>
      <w:r w:rsidR="001D0DED">
        <w:rPr>
          <w:szCs w:val="20"/>
        </w:rPr>
        <w:t>2</w:t>
      </w:r>
      <w:r w:rsidRPr="00C00D06">
        <w:rPr>
          <w:szCs w:val="20"/>
        </w:rPr>
        <w:t xml:space="preserve"> r</w:t>
      </w:r>
      <w:r w:rsidR="000D253F">
        <w:rPr>
          <w:szCs w:val="20"/>
        </w:rPr>
        <w:t>. W porównaniu d</w:t>
      </w:r>
      <w:r w:rsidR="00194C6A">
        <w:rPr>
          <w:szCs w:val="20"/>
        </w:rPr>
        <w:t xml:space="preserve">o </w:t>
      </w:r>
      <w:r w:rsidR="00EF146F">
        <w:rPr>
          <w:szCs w:val="20"/>
        </w:rPr>
        <w:t xml:space="preserve">marca </w:t>
      </w:r>
      <w:r w:rsidRPr="00C00D06">
        <w:rPr>
          <w:szCs w:val="20"/>
        </w:rPr>
        <w:t>202</w:t>
      </w:r>
      <w:r w:rsidR="00E57F49">
        <w:rPr>
          <w:szCs w:val="20"/>
        </w:rPr>
        <w:t>3</w:t>
      </w:r>
      <w:r w:rsidRPr="00C00D06">
        <w:rPr>
          <w:szCs w:val="20"/>
        </w:rPr>
        <w:t xml:space="preserve"> r. </w:t>
      </w:r>
      <w:r w:rsidR="000D253F">
        <w:rPr>
          <w:szCs w:val="20"/>
        </w:rPr>
        <w:t xml:space="preserve">była </w:t>
      </w:r>
      <w:r w:rsidR="004767B5">
        <w:rPr>
          <w:szCs w:val="20"/>
        </w:rPr>
        <w:t>wyższa</w:t>
      </w:r>
      <w:r w:rsidR="000D253F">
        <w:rPr>
          <w:szCs w:val="20"/>
        </w:rPr>
        <w:t xml:space="preserve"> o </w:t>
      </w:r>
      <w:r w:rsidR="00EF146F">
        <w:rPr>
          <w:szCs w:val="20"/>
        </w:rPr>
        <w:t>2</w:t>
      </w:r>
      <w:r w:rsidR="004767B5">
        <w:rPr>
          <w:szCs w:val="20"/>
        </w:rPr>
        <w:t>,</w:t>
      </w:r>
      <w:r w:rsidR="00EF146F">
        <w:rPr>
          <w:szCs w:val="20"/>
        </w:rPr>
        <w:t>8</w:t>
      </w:r>
      <w:r w:rsidR="000D253F">
        <w:rPr>
          <w:szCs w:val="20"/>
        </w:rPr>
        <w:t>%.</w:t>
      </w:r>
    </w:p>
    <w:p w14:paraId="430E9A85" w14:textId="77777777" w:rsidR="00D4141B" w:rsidRDefault="00D4141B" w:rsidP="001D3DE7">
      <w:pPr>
        <w:jc w:val="both"/>
        <w:rPr>
          <w:i/>
          <w:szCs w:val="20"/>
        </w:rPr>
      </w:pPr>
    </w:p>
    <w:p w14:paraId="7B8EB30E" w14:textId="3F684DCA" w:rsidR="00CB1655" w:rsidRPr="003947E9" w:rsidRDefault="001D3DE7" w:rsidP="00CB1655">
      <w:pPr>
        <w:jc w:val="both"/>
        <w:rPr>
          <w:iCs/>
          <w:szCs w:val="20"/>
        </w:rPr>
      </w:pPr>
      <w:r w:rsidRPr="00C00D06">
        <w:rPr>
          <w:i/>
          <w:szCs w:val="20"/>
        </w:rPr>
        <w:t xml:space="preserve">- </w:t>
      </w:r>
      <w:r w:rsidR="00EF146F">
        <w:rPr>
          <w:i/>
          <w:szCs w:val="20"/>
        </w:rPr>
        <w:t>Kwietniowy</w:t>
      </w:r>
      <w:r w:rsidR="00250E18">
        <w:rPr>
          <w:i/>
          <w:szCs w:val="20"/>
        </w:rPr>
        <w:t xml:space="preserve"> odczyt BIK Indeksu Popytu na Kredyty Mieszkaniowe </w:t>
      </w:r>
      <w:r w:rsidR="00E57F49">
        <w:rPr>
          <w:i/>
          <w:szCs w:val="20"/>
        </w:rPr>
        <w:t xml:space="preserve">jest </w:t>
      </w:r>
      <w:r w:rsidR="001374D3">
        <w:rPr>
          <w:i/>
          <w:szCs w:val="20"/>
        </w:rPr>
        <w:t>nadal ujemny i pokazuje, że w kwietniu br. złożono wnioski kredytowe na wartość o 16,2% niższą niż przed rokiem</w:t>
      </w:r>
      <w:r w:rsidR="003A1A09">
        <w:rPr>
          <w:i/>
          <w:szCs w:val="20"/>
        </w:rPr>
        <w:t>.</w:t>
      </w:r>
      <w:r w:rsidR="000D253F">
        <w:rPr>
          <w:i/>
          <w:szCs w:val="20"/>
        </w:rPr>
        <w:t xml:space="preserve"> </w:t>
      </w:r>
      <w:r w:rsidR="001374D3">
        <w:rPr>
          <w:i/>
          <w:szCs w:val="20"/>
        </w:rPr>
        <w:t>Interpretując tę informację trzeba jednak pamiętać, że do sierpnia 2022 r. gdy odnotowaliśmy najniższy odczyt wartości Indeksu</w:t>
      </w:r>
      <w:r w:rsidR="00B72FE3">
        <w:rPr>
          <w:i/>
          <w:szCs w:val="20"/>
        </w:rPr>
        <w:t>,</w:t>
      </w:r>
      <w:r w:rsidR="001374D3">
        <w:rPr>
          <w:i/>
          <w:szCs w:val="20"/>
        </w:rPr>
        <w:t xml:space="preserve"> był </w:t>
      </w:r>
      <w:r w:rsidR="00B72FE3">
        <w:rPr>
          <w:i/>
          <w:szCs w:val="20"/>
        </w:rPr>
        <w:t xml:space="preserve">on </w:t>
      </w:r>
      <w:r w:rsidR="001374D3">
        <w:rPr>
          <w:i/>
          <w:szCs w:val="20"/>
        </w:rPr>
        <w:t xml:space="preserve">w trendzie </w:t>
      </w:r>
      <w:r w:rsidR="00B72FE3">
        <w:rPr>
          <w:i/>
          <w:szCs w:val="20"/>
        </w:rPr>
        <w:t xml:space="preserve">spadkowym, </w:t>
      </w:r>
      <w:r w:rsidR="001374D3">
        <w:rPr>
          <w:i/>
          <w:szCs w:val="20"/>
        </w:rPr>
        <w:t xml:space="preserve">co tworzy niską bazę dla porównań w 2023 r. Właśnie efekt statystyczny niskiej bazy z 2022 r. częściowo </w:t>
      </w:r>
      <w:r w:rsidR="00B72FE3">
        <w:rPr>
          <w:i/>
          <w:szCs w:val="20"/>
        </w:rPr>
        <w:t>s</w:t>
      </w:r>
      <w:r w:rsidR="001374D3">
        <w:rPr>
          <w:i/>
          <w:szCs w:val="20"/>
        </w:rPr>
        <w:t xml:space="preserve">powoduje, że wartość Indeksu w kolejnych miesiącach br. roku będzie rosnąć. </w:t>
      </w:r>
      <w:r w:rsidR="00B72FE3">
        <w:rPr>
          <w:i/>
          <w:szCs w:val="20"/>
        </w:rPr>
        <w:t>N</w:t>
      </w:r>
      <w:r w:rsidR="001374D3">
        <w:rPr>
          <w:i/>
          <w:szCs w:val="20"/>
        </w:rPr>
        <w:t xml:space="preserve">ależy zauważyć, że poprawa wartości Indeksu została rozpoczęta </w:t>
      </w:r>
      <w:r w:rsidR="00B5586F">
        <w:rPr>
          <w:i/>
          <w:szCs w:val="20"/>
        </w:rPr>
        <w:t xml:space="preserve">już </w:t>
      </w:r>
      <w:r w:rsidR="001374D3">
        <w:rPr>
          <w:i/>
          <w:szCs w:val="20"/>
        </w:rPr>
        <w:t xml:space="preserve">we wrześniu 2022 r. Warto </w:t>
      </w:r>
      <w:r w:rsidR="00B5586F">
        <w:rPr>
          <w:i/>
          <w:szCs w:val="20"/>
        </w:rPr>
        <w:t xml:space="preserve">jednak </w:t>
      </w:r>
      <w:r w:rsidR="001374D3">
        <w:rPr>
          <w:i/>
          <w:szCs w:val="20"/>
        </w:rPr>
        <w:t>zaznaczyć, że symptomem trwałej poprawy sentymentu do kredytów mieszkaniowych będzie dopiero dodatni odczyt indeksu, potwierdzający, że w danym miesiącu złożono zapytania na wyższą kwotę niż w analogicznym miesiącu poprzedniego roku</w:t>
      </w:r>
      <w:r w:rsidR="00CB1655">
        <w:rPr>
          <w:i/>
          <w:szCs w:val="20"/>
        </w:rPr>
        <w:t xml:space="preserve"> </w:t>
      </w:r>
      <w:r w:rsidR="00CB1655" w:rsidRPr="00CB1655">
        <w:rPr>
          <w:iCs/>
          <w:szCs w:val="20"/>
        </w:rPr>
        <w:t xml:space="preserve">– </w:t>
      </w:r>
      <w:r w:rsidR="00CB1655">
        <w:rPr>
          <w:iCs/>
          <w:szCs w:val="20"/>
        </w:rPr>
        <w:t>mówi</w:t>
      </w:r>
      <w:r w:rsidR="00CB1655" w:rsidRPr="00CB1655">
        <w:rPr>
          <w:iCs/>
          <w:szCs w:val="20"/>
        </w:rPr>
        <w:t xml:space="preserve"> </w:t>
      </w:r>
      <w:r w:rsidR="00CB1655" w:rsidRPr="003947E9">
        <w:rPr>
          <w:iCs/>
          <w:szCs w:val="20"/>
        </w:rPr>
        <w:t>prof. Waldemar Rogowski, główny analityk Grupy BIK.</w:t>
      </w:r>
    </w:p>
    <w:p w14:paraId="1EACFD51" w14:textId="2C7818B9" w:rsidR="001374D3" w:rsidRDefault="001374D3" w:rsidP="001374D3">
      <w:pPr>
        <w:jc w:val="both"/>
        <w:rPr>
          <w:i/>
          <w:szCs w:val="20"/>
        </w:rPr>
      </w:pPr>
    </w:p>
    <w:p w14:paraId="5D4C866D" w14:textId="5A49BDE9" w:rsidR="00052165" w:rsidRDefault="0055409A" w:rsidP="001D3DE7">
      <w:pPr>
        <w:jc w:val="both"/>
        <w:rPr>
          <w:i/>
          <w:szCs w:val="20"/>
        </w:rPr>
      </w:pPr>
      <w:r>
        <w:rPr>
          <w:i/>
          <w:szCs w:val="20"/>
        </w:rPr>
        <w:t xml:space="preserve">- </w:t>
      </w:r>
      <w:r w:rsidR="00B5586F">
        <w:rPr>
          <w:i/>
          <w:szCs w:val="20"/>
        </w:rPr>
        <w:t>Obecnie w</w:t>
      </w:r>
      <w:r w:rsidR="00A90B66">
        <w:rPr>
          <w:i/>
          <w:szCs w:val="20"/>
        </w:rPr>
        <w:t xml:space="preserve">arto </w:t>
      </w:r>
      <w:r w:rsidR="00DB31DE">
        <w:rPr>
          <w:i/>
          <w:szCs w:val="20"/>
        </w:rPr>
        <w:t xml:space="preserve">przede wszystkim </w:t>
      </w:r>
      <w:r w:rsidR="00A90B66">
        <w:rPr>
          <w:i/>
          <w:szCs w:val="20"/>
        </w:rPr>
        <w:t xml:space="preserve">śledzić </w:t>
      </w:r>
      <w:r w:rsidR="008039F7">
        <w:rPr>
          <w:i/>
          <w:szCs w:val="20"/>
        </w:rPr>
        <w:t xml:space="preserve">zachowanie </w:t>
      </w:r>
      <w:r w:rsidR="00A90B66">
        <w:rPr>
          <w:i/>
          <w:szCs w:val="20"/>
        </w:rPr>
        <w:t>dw</w:t>
      </w:r>
      <w:r w:rsidR="008039F7">
        <w:rPr>
          <w:i/>
          <w:szCs w:val="20"/>
        </w:rPr>
        <w:t>óch</w:t>
      </w:r>
      <w:r w:rsidR="00A90B66">
        <w:rPr>
          <w:i/>
          <w:szCs w:val="20"/>
        </w:rPr>
        <w:t xml:space="preserve"> komponent</w:t>
      </w:r>
      <w:r w:rsidR="008039F7">
        <w:rPr>
          <w:i/>
          <w:szCs w:val="20"/>
        </w:rPr>
        <w:t>ów</w:t>
      </w:r>
      <w:r w:rsidR="00A90B66">
        <w:rPr>
          <w:i/>
          <w:szCs w:val="20"/>
        </w:rPr>
        <w:t xml:space="preserve"> </w:t>
      </w:r>
      <w:r w:rsidR="00832EFB">
        <w:rPr>
          <w:i/>
          <w:szCs w:val="20"/>
        </w:rPr>
        <w:t xml:space="preserve">składowych </w:t>
      </w:r>
      <w:r w:rsidR="00A90B66">
        <w:rPr>
          <w:i/>
          <w:szCs w:val="20"/>
        </w:rPr>
        <w:t xml:space="preserve">Indeksu, tj. liczbę </w:t>
      </w:r>
      <w:r w:rsidR="00974CB7">
        <w:rPr>
          <w:i/>
          <w:szCs w:val="20"/>
        </w:rPr>
        <w:t xml:space="preserve">osób </w:t>
      </w:r>
      <w:r w:rsidR="00A90B66">
        <w:rPr>
          <w:i/>
          <w:szCs w:val="20"/>
        </w:rPr>
        <w:t xml:space="preserve">wnioskujących </w:t>
      </w:r>
      <w:r w:rsidR="00B5586F">
        <w:rPr>
          <w:i/>
          <w:szCs w:val="20"/>
        </w:rPr>
        <w:t xml:space="preserve">o kredyt mieszkaniowy </w:t>
      </w:r>
      <w:r w:rsidR="00A90B66">
        <w:rPr>
          <w:i/>
          <w:szCs w:val="20"/>
        </w:rPr>
        <w:t>oraz średni</w:t>
      </w:r>
      <w:r w:rsidR="00D3773A">
        <w:rPr>
          <w:i/>
          <w:szCs w:val="20"/>
        </w:rPr>
        <w:t>ą</w:t>
      </w:r>
      <w:r w:rsidR="00A90B66">
        <w:rPr>
          <w:i/>
          <w:szCs w:val="20"/>
        </w:rPr>
        <w:t xml:space="preserve"> kwotę wnioskowanego kredytu. </w:t>
      </w:r>
      <w:r w:rsidR="00A931CF">
        <w:rPr>
          <w:i/>
          <w:szCs w:val="20"/>
        </w:rPr>
        <w:t xml:space="preserve">Obniżenie wymagań co do wartości bufora na stopę procentową spowodowało wzrost zdolności kredytowej, który widoczny jest we wzroście średniej kwoty wnioskowanego kredytu, </w:t>
      </w:r>
      <w:r w:rsidR="00A931CF" w:rsidRPr="00DB31DE">
        <w:rPr>
          <w:i/>
          <w:szCs w:val="20"/>
        </w:rPr>
        <w:t xml:space="preserve">która w porównaniu do </w:t>
      </w:r>
      <w:r w:rsidR="00B5586F">
        <w:rPr>
          <w:i/>
          <w:szCs w:val="20"/>
        </w:rPr>
        <w:t>marca</w:t>
      </w:r>
      <w:r w:rsidR="00A931CF" w:rsidRPr="00DB31DE">
        <w:rPr>
          <w:i/>
          <w:szCs w:val="20"/>
        </w:rPr>
        <w:t xml:space="preserve"> 2023 r. wzrosła o </w:t>
      </w:r>
      <w:r w:rsidR="00B5586F">
        <w:rPr>
          <w:i/>
          <w:szCs w:val="20"/>
        </w:rPr>
        <w:t>2</w:t>
      </w:r>
      <w:r w:rsidR="00A931CF" w:rsidRPr="00DB31DE">
        <w:rPr>
          <w:i/>
          <w:szCs w:val="20"/>
        </w:rPr>
        <w:t>,</w:t>
      </w:r>
      <w:r w:rsidR="00B5586F">
        <w:rPr>
          <w:i/>
          <w:szCs w:val="20"/>
        </w:rPr>
        <w:t>8</w:t>
      </w:r>
      <w:r w:rsidR="00A931CF" w:rsidRPr="00DB31DE">
        <w:rPr>
          <w:i/>
          <w:szCs w:val="20"/>
        </w:rPr>
        <w:t>%</w:t>
      </w:r>
      <w:r w:rsidR="00DB31DE" w:rsidRPr="00DB31DE">
        <w:rPr>
          <w:i/>
          <w:szCs w:val="20"/>
        </w:rPr>
        <w:t xml:space="preserve"> </w:t>
      </w:r>
      <w:r w:rsidR="00DB31DE">
        <w:rPr>
          <w:i/>
          <w:szCs w:val="20"/>
        </w:rPr>
        <w:t>i jest rekordową kwotą w historii</w:t>
      </w:r>
      <w:r w:rsidR="00CB1655">
        <w:rPr>
          <w:i/>
          <w:szCs w:val="20"/>
        </w:rPr>
        <w:t xml:space="preserve"> indeksu</w:t>
      </w:r>
      <w:r w:rsidR="00B5586F">
        <w:rPr>
          <w:i/>
          <w:szCs w:val="20"/>
        </w:rPr>
        <w:t>.</w:t>
      </w:r>
      <w:r w:rsidR="00A931CF" w:rsidRPr="00C262DC">
        <w:rPr>
          <w:i/>
          <w:color w:val="FF0000"/>
          <w:szCs w:val="20"/>
        </w:rPr>
        <w:t xml:space="preserve"> </w:t>
      </w:r>
      <w:r>
        <w:rPr>
          <w:i/>
          <w:szCs w:val="20"/>
        </w:rPr>
        <w:t>W</w:t>
      </w:r>
      <w:r w:rsidR="00832EFB">
        <w:rPr>
          <w:i/>
          <w:szCs w:val="20"/>
        </w:rPr>
        <w:t xml:space="preserve"> </w:t>
      </w:r>
      <w:r w:rsidR="00DB31DE">
        <w:rPr>
          <w:i/>
          <w:szCs w:val="20"/>
        </w:rPr>
        <w:t xml:space="preserve"> obecnej sytuacji rynkowej </w:t>
      </w:r>
      <w:r w:rsidR="008039F7">
        <w:rPr>
          <w:i/>
          <w:szCs w:val="20"/>
        </w:rPr>
        <w:t>wskaźnikiem</w:t>
      </w:r>
      <w:r w:rsidR="00CB1655">
        <w:rPr>
          <w:i/>
          <w:szCs w:val="20"/>
        </w:rPr>
        <w:t>, który</w:t>
      </w:r>
      <w:r w:rsidR="008039F7">
        <w:rPr>
          <w:i/>
          <w:szCs w:val="20"/>
        </w:rPr>
        <w:t xml:space="preserve"> najlepiej </w:t>
      </w:r>
      <w:r w:rsidR="00CB1655">
        <w:rPr>
          <w:i/>
          <w:szCs w:val="20"/>
        </w:rPr>
        <w:t xml:space="preserve">pokazuje </w:t>
      </w:r>
      <w:r w:rsidR="008039F7">
        <w:rPr>
          <w:i/>
          <w:szCs w:val="20"/>
        </w:rPr>
        <w:t>bieżącą sytuację popytu na kredyty mieszkaniowe</w:t>
      </w:r>
      <w:r w:rsidR="00B5586F">
        <w:rPr>
          <w:i/>
          <w:szCs w:val="20"/>
        </w:rPr>
        <w:t>,</w:t>
      </w:r>
      <w:r w:rsidR="008039F7">
        <w:rPr>
          <w:i/>
          <w:szCs w:val="20"/>
        </w:rPr>
        <w:t xml:space="preserve"> </w:t>
      </w:r>
      <w:r w:rsidR="00832EFB">
        <w:rPr>
          <w:i/>
          <w:szCs w:val="20"/>
        </w:rPr>
        <w:t xml:space="preserve">jest </w:t>
      </w:r>
      <w:r w:rsidR="008039F7">
        <w:rPr>
          <w:i/>
          <w:szCs w:val="20"/>
        </w:rPr>
        <w:t>liczba osób wnioskujących</w:t>
      </w:r>
      <w:r w:rsidR="00CB1655">
        <w:rPr>
          <w:i/>
          <w:szCs w:val="20"/>
        </w:rPr>
        <w:t>.</w:t>
      </w:r>
      <w:r w:rsidR="008039F7">
        <w:rPr>
          <w:i/>
          <w:szCs w:val="20"/>
        </w:rPr>
        <w:t xml:space="preserve"> </w:t>
      </w:r>
      <w:r w:rsidR="00D50C00">
        <w:rPr>
          <w:i/>
          <w:szCs w:val="20"/>
        </w:rPr>
        <w:t xml:space="preserve">W </w:t>
      </w:r>
      <w:r>
        <w:rPr>
          <w:i/>
          <w:szCs w:val="20"/>
        </w:rPr>
        <w:t xml:space="preserve">tym </w:t>
      </w:r>
      <w:r w:rsidR="00D50C00">
        <w:rPr>
          <w:i/>
          <w:szCs w:val="20"/>
        </w:rPr>
        <w:t xml:space="preserve">aspekcie </w:t>
      </w:r>
      <w:r w:rsidR="00B5586F">
        <w:rPr>
          <w:i/>
          <w:szCs w:val="20"/>
        </w:rPr>
        <w:t>kwiecień</w:t>
      </w:r>
      <w:r w:rsidR="00D50C00">
        <w:rPr>
          <w:i/>
          <w:szCs w:val="20"/>
        </w:rPr>
        <w:t xml:space="preserve"> </w:t>
      </w:r>
      <w:r>
        <w:rPr>
          <w:i/>
          <w:szCs w:val="20"/>
        </w:rPr>
        <w:t xml:space="preserve">br. </w:t>
      </w:r>
      <w:r w:rsidR="00D50C00">
        <w:rPr>
          <w:i/>
          <w:szCs w:val="20"/>
        </w:rPr>
        <w:t>przyniósł</w:t>
      </w:r>
      <w:r w:rsidR="00CB1655">
        <w:rPr>
          <w:i/>
          <w:szCs w:val="20"/>
        </w:rPr>
        <w:t>,</w:t>
      </w:r>
      <w:r w:rsidR="00D50C00">
        <w:rPr>
          <w:i/>
          <w:szCs w:val="20"/>
        </w:rPr>
        <w:t xml:space="preserve"> </w:t>
      </w:r>
      <w:r w:rsidR="00B5586F">
        <w:rPr>
          <w:i/>
          <w:szCs w:val="20"/>
        </w:rPr>
        <w:t>co prawda spadek</w:t>
      </w:r>
      <w:r w:rsidR="00D50C00">
        <w:rPr>
          <w:i/>
          <w:szCs w:val="20"/>
        </w:rPr>
        <w:t xml:space="preserve"> liczby wnioskujących</w:t>
      </w:r>
      <w:r w:rsidR="000F47A2">
        <w:rPr>
          <w:i/>
          <w:szCs w:val="20"/>
        </w:rPr>
        <w:t xml:space="preserve"> </w:t>
      </w:r>
      <w:r w:rsidR="00CB1655">
        <w:rPr>
          <w:i/>
          <w:szCs w:val="20"/>
        </w:rPr>
        <w:t>o kredyt mieszkaniowy</w:t>
      </w:r>
      <w:r w:rsidR="00D50C00">
        <w:rPr>
          <w:i/>
          <w:szCs w:val="20"/>
        </w:rPr>
        <w:t xml:space="preserve"> w relacji do </w:t>
      </w:r>
      <w:r w:rsidR="00B5586F">
        <w:rPr>
          <w:i/>
          <w:szCs w:val="20"/>
        </w:rPr>
        <w:t>marca br.</w:t>
      </w:r>
      <w:r>
        <w:rPr>
          <w:i/>
          <w:szCs w:val="20"/>
        </w:rPr>
        <w:t xml:space="preserve"> (</w:t>
      </w:r>
      <w:r w:rsidR="00B5586F">
        <w:rPr>
          <w:i/>
          <w:szCs w:val="20"/>
        </w:rPr>
        <w:t>-6</w:t>
      </w:r>
      <w:r w:rsidR="00D50C00">
        <w:rPr>
          <w:i/>
          <w:szCs w:val="20"/>
        </w:rPr>
        <w:t>,</w:t>
      </w:r>
      <w:r w:rsidR="00B5586F">
        <w:rPr>
          <w:i/>
          <w:szCs w:val="20"/>
        </w:rPr>
        <w:t>0</w:t>
      </w:r>
      <w:r w:rsidR="00D50C00">
        <w:rPr>
          <w:i/>
          <w:szCs w:val="20"/>
        </w:rPr>
        <w:t>%</w:t>
      </w:r>
      <w:r>
        <w:rPr>
          <w:i/>
          <w:szCs w:val="20"/>
        </w:rPr>
        <w:t>),</w:t>
      </w:r>
      <w:r w:rsidR="00D50C00">
        <w:rPr>
          <w:i/>
          <w:szCs w:val="20"/>
        </w:rPr>
        <w:t xml:space="preserve"> </w:t>
      </w:r>
      <w:r w:rsidR="00B5586F">
        <w:rPr>
          <w:i/>
          <w:szCs w:val="20"/>
        </w:rPr>
        <w:t>ale przy czterech dniach roboczych mniej. Gdyby przeliczyć liczbę wnioskodawców na dzień roboczy to w kwietniu mielibyśmy wzrost w relacji do marca o 13,7%</w:t>
      </w:r>
      <w:r w:rsidR="00CB1655">
        <w:rPr>
          <w:i/>
          <w:szCs w:val="20"/>
        </w:rPr>
        <w:t xml:space="preserve"> - </w:t>
      </w:r>
      <w:r w:rsidR="00CB1655" w:rsidRPr="00CB1655">
        <w:rPr>
          <w:iCs/>
          <w:szCs w:val="20"/>
        </w:rPr>
        <w:t>wyjaśnia</w:t>
      </w:r>
      <w:r w:rsidR="00CB1655">
        <w:rPr>
          <w:iCs/>
          <w:szCs w:val="20"/>
        </w:rPr>
        <w:t xml:space="preserve"> </w:t>
      </w:r>
      <w:r w:rsidR="00CB1655" w:rsidRPr="003947E9">
        <w:rPr>
          <w:iCs/>
          <w:szCs w:val="20"/>
        </w:rPr>
        <w:t>główny analityk Grupy BIK.</w:t>
      </w:r>
    </w:p>
    <w:p w14:paraId="5A01FCF7" w14:textId="77777777" w:rsidR="003947E9" w:rsidRDefault="003947E9" w:rsidP="001D3DE7">
      <w:pPr>
        <w:jc w:val="both"/>
        <w:rPr>
          <w:i/>
          <w:szCs w:val="20"/>
        </w:rPr>
      </w:pPr>
    </w:p>
    <w:p w14:paraId="44815B1D" w14:textId="2566E9FC" w:rsidR="001D3DE7" w:rsidRPr="003947E9" w:rsidRDefault="00CB1655" w:rsidP="001D3DE7">
      <w:pPr>
        <w:jc w:val="both"/>
        <w:rPr>
          <w:iCs/>
          <w:szCs w:val="20"/>
        </w:rPr>
      </w:pPr>
      <w:r>
        <w:rPr>
          <w:i/>
          <w:szCs w:val="20"/>
        </w:rPr>
        <w:t xml:space="preserve">- </w:t>
      </w:r>
      <w:r w:rsidR="00CD1C41">
        <w:rPr>
          <w:i/>
          <w:szCs w:val="20"/>
        </w:rPr>
        <w:t xml:space="preserve">Reasumując </w:t>
      </w:r>
      <w:r w:rsidR="00B5586F">
        <w:rPr>
          <w:i/>
          <w:szCs w:val="20"/>
        </w:rPr>
        <w:t>można już powoli mówić, że wiosenne słońce roztopiło lód</w:t>
      </w:r>
      <w:r w:rsidR="003947E9">
        <w:rPr>
          <w:i/>
          <w:szCs w:val="20"/>
        </w:rPr>
        <w:t>, który zmroził</w:t>
      </w:r>
      <w:r w:rsidR="00B5586F">
        <w:rPr>
          <w:i/>
          <w:szCs w:val="20"/>
        </w:rPr>
        <w:t xml:space="preserve"> popyt na kredyty mieszkaniowe</w:t>
      </w:r>
      <w:r w:rsidR="003947E9">
        <w:rPr>
          <w:i/>
          <w:szCs w:val="20"/>
        </w:rPr>
        <w:t xml:space="preserve">, </w:t>
      </w:r>
      <w:r>
        <w:rPr>
          <w:i/>
          <w:szCs w:val="20"/>
        </w:rPr>
        <w:t xml:space="preserve">co pozwala </w:t>
      </w:r>
      <w:r w:rsidR="003947E9">
        <w:rPr>
          <w:i/>
          <w:szCs w:val="20"/>
        </w:rPr>
        <w:t xml:space="preserve">z pewnym </w:t>
      </w:r>
      <w:r>
        <w:rPr>
          <w:i/>
          <w:szCs w:val="20"/>
        </w:rPr>
        <w:t xml:space="preserve"> </w:t>
      </w:r>
      <w:r w:rsidR="003947E9">
        <w:rPr>
          <w:i/>
          <w:szCs w:val="20"/>
        </w:rPr>
        <w:t>optymizmem patrzeć na rynek kredytów mieszkaniowych tym bardziej, że w lecie zostanie mu podany steryd w postaci rządowego programu kredytu na 2%</w:t>
      </w:r>
      <w:r w:rsidR="00B5586F">
        <w:rPr>
          <w:i/>
          <w:szCs w:val="20"/>
        </w:rPr>
        <w:t xml:space="preserve"> </w:t>
      </w:r>
      <w:r w:rsidR="007A3AAB">
        <w:rPr>
          <w:i/>
          <w:szCs w:val="20"/>
        </w:rPr>
        <w:t xml:space="preserve"> </w:t>
      </w:r>
      <w:r w:rsidR="001D3DE7" w:rsidRPr="00C00D06">
        <w:rPr>
          <w:i/>
          <w:szCs w:val="20"/>
        </w:rPr>
        <w:t xml:space="preserve">– </w:t>
      </w:r>
      <w:r>
        <w:rPr>
          <w:iCs/>
          <w:szCs w:val="20"/>
        </w:rPr>
        <w:t>dodaje prof. Rogowski.</w:t>
      </w:r>
      <w:r w:rsidRPr="003947E9">
        <w:rPr>
          <w:iCs/>
          <w:szCs w:val="20"/>
        </w:rPr>
        <w:t xml:space="preserve"> </w:t>
      </w:r>
    </w:p>
    <w:p w14:paraId="31914ABE" w14:textId="77777777" w:rsidR="001D3DE7" w:rsidRPr="00C00D06" w:rsidRDefault="001D3DE7" w:rsidP="001D3DE7">
      <w:pPr>
        <w:jc w:val="both"/>
        <w:rPr>
          <w:szCs w:val="20"/>
        </w:rPr>
      </w:pPr>
    </w:p>
    <w:p w14:paraId="2DED2162" w14:textId="5CDBD7E9" w:rsidR="001D3DE7" w:rsidRDefault="00EF146F" w:rsidP="001D3DE7">
      <w:pPr>
        <w:spacing w:after="160" w:line="259" w:lineRule="auto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2CAC0185" wp14:editId="3DB61E0D">
            <wp:extent cx="5760720" cy="2326005"/>
            <wp:effectExtent l="0" t="0" r="11430" b="171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594" w14:textId="77777777" w:rsidR="001D3DE7" w:rsidRPr="00C00D06" w:rsidRDefault="001D3DE7" w:rsidP="001D3DE7">
      <w:pPr>
        <w:jc w:val="both"/>
        <w:rPr>
          <w:sz w:val="16"/>
          <w:szCs w:val="16"/>
        </w:rPr>
      </w:pPr>
      <w:r w:rsidRPr="00C00D06">
        <w:rPr>
          <w:sz w:val="16"/>
          <w:szCs w:val="16"/>
        </w:rPr>
        <w:t xml:space="preserve">Aktualne informacje o rynku kredytowym prezentujemy na stronie </w:t>
      </w:r>
      <w:hyperlink r:id="rId11" w:history="1">
        <w:r w:rsidRPr="00C00D06">
          <w:rPr>
            <w:rStyle w:val="Hipercze"/>
            <w:sz w:val="16"/>
            <w:szCs w:val="16"/>
          </w:rPr>
          <w:t xml:space="preserve">Analizy rynkowe </w:t>
        </w:r>
      </w:hyperlink>
      <w:r w:rsidRPr="00C00D06">
        <w:rPr>
          <w:sz w:val="16"/>
          <w:szCs w:val="16"/>
        </w:rPr>
        <w:t xml:space="preserve">oraz w </w:t>
      </w:r>
      <w:hyperlink r:id="rId12" w:history="1">
        <w:r w:rsidRPr="00C00D06">
          <w:rPr>
            <w:rStyle w:val="Hipercze"/>
            <w:sz w:val="16"/>
            <w:szCs w:val="16"/>
          </w:rPr>
          <w:t>Newsletterze kredytowym BIK</w:t>
        </w:r>
      </w:hyperlink>
      <w:r w:rsidRPr="00C00D06">
        <w:rPr>
          <w:sz w:val="16"/>
          <w:szCs w:val="16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77777777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6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Baza BIK zawiera informacje o 164 mln rachunków należących do 25 mln klientów indywidualnych oraz 1,4 mln firm, w tym o 845 tys. mikroprzedsiębiorców prowadzących działalność gospodarczą. BIK posiada najwyższe kompetencje w zakresie </w:t>
      </w:r>
      <w:hyperlink r:id="rId17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465CC8C4" w14:textId="2E17C779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17DF340" w14:textId="77777777" w:rsidR="000F47A2" w:rsidRPr="000F47A2" w:rsidRDefault="000F47A2" w:rsidP="000F47A2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07E9CDAC" w14:textId="77777777" w:rsidR="000F47A2" w:rsidRPr="000F47A2" w:rsidRDefault="000F47A2" w:rsidP="000F47A2">
      <w:pPr>
        <w:jc w:val="both"/>
        <w:rPr>
          <w:rStyle w:val="StylStBIKsubowagwkaZnak"/>
          <w:rFonts w:eastAsiaTheme="minorHAnsi"/>
          <w:bCs/>
          <w:sz w:val="18"/>
          <w:szCs w:val="18"/>
          <w:lang w:val="sv-SE" w:eastAsia="pl-PL"/>
        </w:rPr>
      </w:pPr>
      <w:r w:rsidRPr="000F47A2">
        <w:rPr>
          <w:rStyle w:val="StylStBIKsubowagwkaZnak"/>
          <w:rFonts w:eastAsiaTheme="minorHAnsi"/>
          <w:bCs/>
          <w:sz w:val="18"/>
          <w:szCs w:val="18"/>
          <w:lang w:val="sv-SE" w:eastAsia="pl-PL"/>
        </w:rPr>
        <w:t>Kontakt dla mediów:</w:t>
      </w:r>
    </w:p>
    <w:p w14:paraId="2F83F6DC" w14:textId="77777777" w:rsidR="000F47A2" w:rsidRPr="000F47A2" w:rsidRDefault="000F47A2" w:rsidP="000F47A2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  <w:r w:rsidRPr="000F47A2"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  <w:t>Aleksandra Stankiewicz-Billewicz</w:t>
      </w:r>
    </w:p>
    <w:p w14:paraId="74A21250" w14:textId="77777777" w:rsidR="000F47A2" w:rsidRPr="000F47A2" w:rsidRDefault="000F47A2" w:rsidP="000F47A2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  <w:r w:rsidRPr="000F47A2"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  <w:t xml:space="preserve">Biuro prasowe BIK </w:t>
      </w:r>
    </w:p>
    <w:p w14:paraId="08A57057" w14:textId="77777777" w:rsidR="000F47A2" w:rsidRPr="000F47A2" w:rsidRDefault="000F47A2" w:rsidP="000F47A2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  <w:r w:rsidRPr="000F47A2"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  <w:t>tel.:     + 48 22 348 4131</w:t>
      </w:r>
    </w:p>
    <w:p w14:paraId="4DD37506" w14:textId="77777777" w:rsidR="000F47A2" w:rsidRPr="000F47A2" w:rsidRDefault="000F47A2" w:rsidP="000F47A2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  <w:r w:rsidRPr="000F47A2"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  <w:t>kom.:  + 48 512 164 131</w:t>
      </w:r>
    </w:p>
    <w:p w14:paraId="443D4298" w14:textId="3F5A05BD" w:rsidR="000F47A2" w:rsidRPr="000F47A2" w:rsidRDefault="000F47A2" w:rsidP="000F47A2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  <w:hyperlink r:id="rId18" w:history="1">
        <w:r w:rsidRPr="00FA3D90">
          <w:rPr>
            <w:rStyle w:val="Hipercze"/>
            <w:rFonts w:cs="Times New Roman"/>
            <w:spacing w:val="-5"/>
            <w:sz w:val="18"/>
            <w:szCs w:val="18"/>
            <w:lang w:val="sv-SE" w:eastAsia="pl-PL"/>
          </w:rPr>
          <w:t>aleksandra.stankiewicz-billewicz@bik.pl</w:t>
        </w:r>
      </w:hyperlink>
      <w:r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  <w:t xml:space="preserve"> </w:t>
      </w:r>
      <w:r w:rsidRPr="000F47A2"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  <w:t xml:space="preserve"> </w:t>
      </w:r>
      <w:r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  <w:t xml:space="preserve"> </w:t>
      </w:r>
    </w:p>
    <w:p w14:paraId="614C3D21" w14:textId="77777777" w:rsidR="000F47A2" w:rsidRDefault="000F47A2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77B6" w14:textId="77777777" w:rsidR="00871EE1" w:rsidRDefault="00871EE1" w:rsidP="00866834">
      <w:r>
        <w:separator/>
      </w:r>
    </w:p>
    <w:p w14:paraId="54FC7614" w14:textId="77777777" w:rsidR="00871EE1" w:rsidRDefault="00871EE1"/>
  </w:endnote>
  <w:endnote w:type="continuationSeparator" w:id="0">
    <w:p w14:paraId="747B94A8" w14:textId="77777777" w:rsidR="00871EE1" w:rsidRDefault="00871EE1" w:rsidP="00866834">
      <w:r>
        <w:continuationSeparator/>
      </w:r>
    </w:p>
    <w:p w14:paraId="4402D3DD" w14:textId="77777777" w:rsidR="00871EE1" w:rsidRDefault="0087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E921" w14:textId="77777777" w:rsidR="00871EE1" w:rsidRDefault="00871EE1" w:rsidP="00866834">
      <w:r>
        <w:separator/>
      </w:r>
    </w:p>
    <w:p w14:paraId="70937971" w14:textId="77777777" w:rsidR="00871EE1" w:rsidRDefault="00871EE1"/>
  </w:footnote>
  <w:footnote w:type="continuationSeparator" w:id="0">
    <w:p w14:paraId="6FB238D3" w14:textId="77777777" w:rsidR="00871EE1" w:rsidRDefault="00871EE1" w:rsidP="00866834">
      <w:r>
        <w:continuationSeparator/>
      </w:r>
    </w:p>
    <w:p w14:paraId="233AF6EF" w14:textId="77777777" w:rsidR="00871EE1" w:rsidRDefault="0087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9DC"/>
    <w:rsid w:val="00010682"/>
    <w:rsid w:val="0001284E"/>
    <w:rsid w:val="000133E5"/>
    <w:rsid w:val="0001644B"/>
    <w:rsid w:val="00016952"/>
    <w:rsid w:val="0002470B"/>
    <w:rsid w:val="00036506"/>
    <w:rsid w:val="00040397"/>
    <w:rsid w:val="000407B1"/>
    <w:rsid w:val="00041E7C"/>
    <w:rsid w:val="00051AF1"/>
    <w:rsid w:val="00052165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B0755"/>
    <w:rsid w:val="000D073E"/>
    <w:rsid w:val="000D253F"/>
    <w:rsid w:val="000D5993"/>
    <w:rsid w:val="000D7AD5"/>
    <w:rsid w:val="000E3C74"/>
    <w:rsid w:val="000F47A2"/>
    <w:rsid w:val="00102C68"/>
    <w:rsid w:val="0010407D"/>
    <w:rsid w:val="001102F7"/>
    <w:rsid w:val="001149A6"/>
    <w:rsid w:val="001266A3"/>
    <w:rsid w:val="0013027F"/>
    <w:rsid w:val="001336D3"/>
    <w:rsid w:val="001354FA"/>
    <w:rsid w:val="001374D3"/>
    <w:rsid w:val="0014528E"/>
    <w:rsid w:val="00162D9C"/>
    <w:rsid w:val="001661AF"/>
    <w:rsid w:val="00166EB1"/>
    <w:rsid w:val="00167CC8"/>
    <w:rsid w:val="001718BB"/>
    <w:rsid w:val="00171AC4"/>
    <w:rsid w:val="0017730C"/>
    <w:rsid w:val="00183759"/>
    <w:rsid w:val="00184906"/>
    <w:rsid w:val="00185BCB"/>
    <w:rsid w:val="001872A7"/>
    <w:rsid w:val="00192AD1"/>
    <w:rsid w:val="00193AB4"/>
    <w:rsid w:val="00194C6A"/>
    <w:rsid w:val="001A01EF"/>
    <w:rsid w:val="001A1682"/>
    <w:rsid w:val="001A2655"/>
    <w:rsid w:val="001A37E7"/>
    <w:rsid w:val="001B043C"/>
    <w:rsid w:val="001B3E2D"/>
    <w:rsid w:val="001D0DED"/>
    <w:rsid w:val="001D1404"/>
    <w:rsid w:val="001D253F"/>
    <w:rsid w:val="001D3DE7"/>
    <w:rsid w:val="001E4E47"/>
    <w:rsid w:val="001F597F"/>
    <w:rsid w:val="001F5B54"/>
    <w:rsid w:val="001F6BED"/>
    <w:rsid w:val="002105B8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D5F"/>
    <w:rsid w:val="00263BB5"/>
    <w:rsid w:val="00271B37"/>
    <w:rsid w:val="00281392"/>
    <w:rsid w:val="002971C2"/>
    <w:rsid w:val="002A63FD"/>
    <w:rsid w:val="002B3EAC"/>
    <w:rsid w:val="002B3FE4"/>
    <w:rsid w:val="002C3CDB"/>
    <w:rsid w:val="002D190A"/>
    <w:rsid w:val="002D1CE5"/>
    <w:rsid w:val="002D48BE"/>
    <w:rsid w:val="002D4B49"/>
    <w:rsid w:val="002D745D"/>
    <w:rsid w:val="002E2235"/>
    <w:rsid w:val="002E358A"/>
    <w:rsid w:val="002E3E55"/>
    <w:rsid w:val="002E68B9"/>
    <w:rsid w:val="002F1502"/>
    <w:rsid w:val="002F2D97"/>
    <w:rsid w:val="002F39DD"/>
    <w:rsid w:val="002F4540"/>
    <w:rsid w:val="002F7017"/>
    <w:rsid w:val="00300DB3"/>
    <w:rsid w:val="003010B3"/>
    <w:rsid w:val="00301E1C"/>
    <w:rsid w:val="00315358"/>
    <w:rsid w:val="0031648A"/>
    <w:rsid w:val="00331554"/>
    <w:rsid w:val="00335F9F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839D6"/>
    <w:rsid w:val="003853CC"/>
    <w:rsid w:val="00387C34"/>
    <w:rsid w:val="00393A63"/>
    <w:rsid w:val="003947E9"/>
    <w:rsid w:val="003A1A09"/>
    <w:rsid w:val="003A460F"/>
    <w:rsid w:val="003A6B00"/>
    <w:rsid w:val="003C5672"/>
    <w:rsid w:val="003C79A3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463B6"/>
    <w:rsid w:val="004478B7"/>
    <w:rsid w:val="00451F91"/>
    <w:rsid w:val="004563EB"/>
    <w:rsid w:val="00464740"/>
    <w:rsid w:val="004767B5"/>
    <w:rsid w:val="00481CFA"/>
    <w:rsid w:val="0048408C"/>
    <w:rsid w:val="00490399"/>
    <w:rsid w:val="004A2397"/>
    <w:rsid w:val="004B18C0"/>
    <w:rsid w:val="004B4400"/>
    <w:rsid w:val="004C17A7"/>
    <w:rsid w:val="004C4026"/>
    <w:rsid w:val="004C44D3"/>
    <w:rsid w:val="004C4C22"/>
    <w:rsid w:val="004E7CE1"/>
    <w:rsid w:val="004F00FD"/>
    <w:rsid w:val="004F5805"/>
    <w:rsid w:val="004F5815"/>
    <w:rsid w:val="005000C3"/>
    <w:rsid w:val="0050297C"/>
    <w:rsid w:val="00507F2B"/>
    <w:rsid w:val="00513DC6"/>
    <w:rsid w:val="00526CDD"/>
    <w:rsid w:val="00533908"/>
    <w:rsid w:val="005377DC"/>
    <w:rsid w:val="00540014"/>
    <w:rsid w:val="00541CDA"/>
    <w:rsid w:val="00541DBA"/>
    <w:rsid w:val="00543D89"/>
    <w:rsid w:val="005450F2"/>
    <w:rsid w:val="005468AD"/>
    <w:rsid w:val="0055409A"/>
    <w:rsid w:val="00572764"/>
    <w:rsid w:val="005842F8"/>
    <w:rsid w:val="00584732"/>
    <w:rsid w:val="00590159"/>
    <w:rsid w:val="005A0EEF"/>
    <w:rsid w:val="005A65ED"/>
    <w:rsid w:val="005C0301"/>
    <w:rsid w:val="005C0F42"/>
    <w:rsid w:val="005D030A"/>
    <w:rsid w:val="005D1495"/>
    <w:rsid w:val="005D7891"/>
    <w:rsid w:val="005F0A9A"/>
    <w:rsid w:val="005F17E6"/>
    <w:rsid w:val="005F680C"/>
    <w:rsid w:val="005F74B8"/>
    <w:rsid w:val="006059D5"/>
    <w:rsid w:val="0061285D"/>
    <w:rsid w:val="00620D7B"/>
    <w:rsid w:val="00625B1C"/>
    <w:rsid w:val="00636328"/>
    <w:rsid w:val="00637C84"/>
    <w:rsid w:val="00644A0E"/>
    <w:rsid w:val="0065021F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4CB2"/>
    <w:rsid w:val="006852E5"/>
    <w:rsid w:val="00685450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6E82"/>
    <w:rsid w:val="00777163"/>
    <w:rsid w:val="00777AED"/>
    <w:rsid w:val="00794B24"/>
    <w:rsid w:val="00795992"/>
    <w:rsid w:val="007A002C"/>
    <w:rsid w:val="007A098A"/>
    <w:rsid w:val="007A1B69"/>
    <w:rsid w:val="007A3AAB"/>
    <w:rsid w:val="007B58FC"/>
    <w:rsid w:val="007D0B3B"/>
    <w:rsid w:val="007E5C6A"/>
    <w:rsid w:val="007F06DA"/>
    <w:rsid w:val="008023FE"/>
    <w:rsid w:val="008039F7"/>
    <w:rsid w:val="00805DF6"/>
    <w:rsid w:val="00806733"/>
    <w:rsid w:val="00806C2E"/>
    <w:rsid w:val="008202BA"/>
    <w:rsid w:val="00821F16"/>
    <w:rsid w:val="00825123"/>
    <w:rsid w:val="00827B66"/>
    <w:rsid w:val="008301AA"/>
    <w:rsid w:val="00832EFB"/>
    <w:rsid w:val="008350ED"/>
    <w:rsid w:val="00841A2A"/>
    <w:rsid w:val="0084396A"/>
    <w:rsid w:val="008456D4"/>
    <w:rsid w:val="00847E9D"/>
    <w:rsid w:val="00853A9D"/>
    <w:rsid w:val="00854B7B"/>
    <w:rsid w:val="00866834"/>
    <w:rsid w:val="008678A4"/>
    <w:rsid w:val="00867CB5"/>
    <w:rsid w:val="00871C9E"/>
    <w:rsid w:val="00871EE1"/>
    <w:rsid w:val="00872D28"/>
    <w:rsid w:val="00873CF9"/>
    <w:rsid w:val="00881712"/>
    <w:rsid w:val="008917A1"/>
    <w:rsid w:val="00896DEF"/>
    <w:rsid w:val="00897945"/>
    <w:rsid w:val="008A0898"/>
    <w:rsid w:val="008A42FB"/>
    <w:rsid w:val="008B2062"/>
    <w:rsid w:val="008B4DBE"/>
    <w:rsid w:val="008C1729"/>
    <w:rsid w:val="008C75DD"/>
    <w:rsid w:val="008E04B2"/>
    <w:rsid w:val="008E44F2"/>
    <w:rsid w:val="008F209D"/>
    <w:rsid w:val="008F6B32"/>
    <w:rsid w:val="00910872"/>
    <w:rsid w:val="00912FC5"/>
    <w:rsid w:val="00914B33"/>
    <w:rsid w:val="009154F2"/>
    <w:rsid w:val="0092387C"/>
    <w:rsid w:val="00933A79"/>
    <w:rsid w:val="00934659"/>
    <w:rsid w:val="00943829"/>
    <w:rsid w:val="00947069"/>
    <w:rsid w:val="00954066"/>
    <w:rsid w:val="00954F60"/>
    <w:rsid w:val="00970D51"/>
    <w:rsid w:val="00974CB7"/>
    <w:rsid w:val="00975E58"/>
    <w:rsid w:val="00996627"/>
    <w:rsid w:val="009A1CEE"/>
    <w:rsid w:val="009C0766"/>
    <w:rsid w:val="009C2A87"/>
    <w:rsid w:val="009C4547"/>
    <w:rsid w:val="009C4AB9"/>
    <w:rsid w:val="009C56EE"/>
    <w:rsid w:val="009D2B0D"/>
    <w:rsid w:val="009D3E46"/>
    <w:rsid w:val="009D4C4D"/>
    <w:rsid w:val="009D75D3"/>
    <w:rsid w:val="009E4A7E"/>
    <w:rsid w:val="009F58F8"/>
    <w:rsid w:val="009F5B2B"/>
    <w:rsid w:val="009F64ED"/>
    <w:rsid w:val="00A11066"/>
    <w:rsid w:val="00A11219"/>
    <w:rsid w:val="00A3057A"/>
    <w:rsid w:val="00A350A7"/>
    <w:rsid w:val="00A36F46"/>
    <w:rsid w:val="00A4087C"/>
    <w:rsid w:val="00A4363C"/>
    <w:rsid w:val="00A46BE2"/>
    <w:rsid w:val="00A50C8D"/>
    <w:rsid w:val="00A60509"/>
    <w:rsid w:val="00A612D8"/>
    <w:rsid w:val="00A72BE7"/>
    <w:rsid w:val="00A73FDB"/>
    <w:rsid w:val="00A7543E"/>
    <w:rsid w:val="00A82827"/>
    <w:rsid w:val="00A85D65"/>
    <w:rsid w:val="00A87DF9"/>
    <w:rsid w:val="00A87FFE"/>
    <w:rsid w:val="00A90B66"/>
    <w:rsid w:val="00A931CF"/>
    <w:rsid w:val="00A94C2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3176"/>
    <w:rsid w:val="00B010F5"/>
    <w:rsid w:val="00B21D57"/>
    <w:rsid w:val="00B26DDD"/>
    <w:rsid w:val="00B35B63"/>
    <w:rsid w:val="00B3797A"/>
    <w:rsid w:val="00B50905"/>
    <w:rsid w:val="00B5586F"/>
    <w:rsid w:val="00B56575"/>
    <w:rsid w:val="00B60E67"/>
    <w:rsid w:val="00B61F8A"/>
    <w:rsid w:val="00B65DDC"/>
    <w:rsid w:val="00B70D20"/>
    <w:rsid w:val="00B72FE3"/>
    <w:rsid w:val="00B85ED1"/>
    <w:rsid w:val="00B976FD"/>
    <w:rsid w:val="00BA759D"/>
    <w:rsid w:val="00BB3391"/>
    <w:rsid w:val="00BB4A80"/>
    <w:rsid w:val="00BB59C6"/>
    <w:rsid w:val="00BB75B6"/>
    <w:rsid w:val="00BC55AC"/>
    <w:rsid w:val="00BC6ABB"/>
    <w:rsid w:val="00BD5534"/>
    <w:rsid w:val="00BD5EA8"/>
    <w:rsid w:val="00BD6260"/>
    <w:rsid w:val="00BD6AE4"/>
    <w:rsid w:val="00BE5C9B"/>
    <w:rsid w:val="00BF191F"/>
    <w:rsid w:val="00BF7242"/>
    <w:rsid w:val="00C00D06"/>
    <w:rsid w:val="00C06041"/>
    <w:rsid w:val="00C158E2"/>
    <w:rsid w:val="00C15FB1"/>
    <w:rsid w:val="00C16C2C"/>
    <w:rsid w:val="00C22D2A"/>
    <w:rsid w:val="00C25E6E"/>
    <w:rsid w:val="00C262DC"/>
    <w:rsid w:val="00C26640"/>
    <w:rsid w:val="00C277A7"/>
    <w:rsid w:val="00C44C19"/>
    <w:rsid w:val="00C47889"/>
    <w:rsid w:val="00C5064F"/>
    <w:rsid w:val="00C537EB"/>
    <w:rsid w:val="00C57C5D"/>
    <w:rsid w:val="00C63331"/>
    <w:rsid w:val="00C74378"/>
    <w:rsid w:val="00C828B7"/>
    <w:rsid w:val="00CA59D7"/>
    <w:rsid w:val="00CB1655"/>
    <w:rsid w:val="00CC4824"/>
    <w:rsid w:val="00CD113F"/>
    <w:rsid w:val="00CD1C41"/>
    <w:rsid w:val="00CD3939"/>
    <w:rsid w:val="00CE03AC"/>
    <w:rsid w:val="00CF012F"/>
    <w:rsid w:val="00CF3E86"/>
    <w:rsid w:val="00CF51E1"/>
    <w:rsid w:val="00CF7ECD"/>
    <w:rsid w:val="00D005B3"/>
    <w:rsid w:val="00D0425E"/>
    <w:rsid w:val="00D06D36"/>
    <w:rsid w:val="00D1358D"/>
    <w:rsid w:val="00D141CD"/>
    <w:rsid w:val="00D16362"/>
    <w:rsid w:val="00D17C4A"/>
    <w:rsid w:val="00D23E01"/>
    <w:rsid w:val="00D244E2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50C00"/>
    <w:rsid w:val="00D628F5"/>
    <w:rsid w:val="00D6359F"/>
    <w:rsid w:val="00D64E2F"/>
    <w:rsid w:val="00D67610"/>
    <w:rsid w:val="00D74831"/>
    <w:rsid w:val="00D772CF"/>
    <w:rsid w:val="00D85799"/>
    <w:rsid w:val="00D92A09"/>
    <w:rsid w:val="00DA1902"/>
    <w:rsid w:val="00DA6E81"/>
    <w:rsid w:val="00DA7420"/>
    <w:rsid w:val="00DB31DE"/>
    <w:rsid w:val="00DB54EC"/>
    <w:rsid w:val="00DC698D"/>
    <w:rsid w:val="00DD3C67"/>
    <w:rsid w:val="00DD60D6"/>
    <w:rsid w:val="00DD77D2"/>
    <w:rsid w:val="00DE08B4"/>
    <w:rsid w:val="00DE2663"/>
    <w:rsid w:val="00DE42E7"/>
    <w:rsid w:val="00DF4A60"/>
    <w:rsid w:val="00DF5AFA"/>
    <w:rsid w:val="00E03125"/>
    <w:rsid w:val="00E075DC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53739"/>
    <w:rsid w:val="00E57F49"/>
    <w:rsid w:val="00E72CC9"/>
    <w:rsid w:val="00E8069E"/>
    <w:rsid w:val="00E81E48"/>
    <w:rsid w:val="00E86BFC"/>
    <w:rsid w:val="00E86ED1"/>
    <w:rsid w:val="00EA3A41"/>
    <w:rsid w:val="00EC7B6F"/>
    <w:rsid w:val="00ED34ED"/>
    <w:rsid w:val="00EE176C"/>
    <w:rsid w:val="00EE493C"/>
    <w:rsid w:val="00EF146F"/>
    <w:rsid w:val="00EF3CDE"/>
    <w:rsid w:val="00F00843"/>
    <w:rsid w:val="00F009BC"/>
    <w:rsid w:val="00F03CB7"/>
    <w:rsid w:val="00F04772"/>
    <w:rsid w:val="00F12476"/>
    <w:rsid w:val="00F13DDF"/>
    <w:rsid w:val="00F21E8C"/>
    <w:rsid w:val="00F26ECD"/>
    <w:rsid w:val="00F323D1"/>
    <w:rsid w:val="00F63136"/>
    <w:rsid w:val="00F82D3F"/>
    <w:rsid w:val="00F85535"/>
    <w:rsid w:val="00FB1A13"/>
    <w:rsid w:val="00FB22EA"/>
    <w:rsid w:val="00FB31CA"/>
    <w:rsid w:val="00FC494D"/>
    <w:rsid w:val="00FD52BA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k.pl" TargetMode="External"/><Relationship Id="rId18" Type="http://schemas.openxmlformats.org/officeDocument/2006/relationships/hyperlink" Target="mailto:aleksandra.stankiewicz-billewicz@bik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edia.bik.pl/publikacje/4314" TargetMode="External"/><Relationship Id="rId17" Type="http://schemas.openxmlformats.org/officeDocument/2006/relationships/hyperlink" Target="https://media.bik.pl/analizy-rynkow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hub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analizy-rynkow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k.pl/klienci-indywidualni/alerty-bik?utm_source=gazeta.pl&amp;utm_medium=artykul&amp;utm_campaign=alerty" TargetMode="External"/><Relationship Id="rId23" Type="http://schemas.openxmlformats.org/officeDocument/2006/relationships/footer" Target="footer3.xml"/><Relationship Id="rId10" Type="http://schemas.openxmlformats.org/officeDocument/2006/relationships/image" Target="cid:image005.png@01D97E65.3731D670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moj-bi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2</cp:revision>
  <cp:lastPrinted>2021-05-26T12:27:00Z</cp:lastPrinted>
  <dcterms:created xsi:type="dcterms:W3CDTF">2023-05-08T12:34:00Z</dcterms:created>
  <dcterms:modified xsi:type="dcterms:W3CDTF">2023-05-08T12:34:00Z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2023-05-08T12:34:02Z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a1fda9b2-7449-48cd-bb29-5de49c0e7290</vt:lpwstr>
  </property>
  <property fmtid="{D5CDD505-2E9C-101B-9397-08002B2CF9AE}" pid="13" name="MSIP_Label_1391a466-f120-4668-a5e5-7af4d8a99d82_ContentBits">
    <vt:lpwstr>2</vt:lpwstr>
  </property>
</Properties>
</file>