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766A" w14:textId="3C41D1C1" w:rsidR="005D198C" w:rsidRPr="00CF4FE0" w:rsidRDefault="005D198C" w:rsidP="005D198C">
      <w:pPr>
        <w:spacing w:line="276" w:lineRule="auto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Wrocław</w:t>
      </w:r>
      <w:r w:rsidR="00F5119E">
        <w:rPr>
          <w:rFonts w:ascii="Calibri" w:hAnsi="Calibri" w:cs="Calibri"/>
          <w:sz w:val="21"/>
        </w:rPr>
        <w:t>,</w:t>
      </w:r>
      <w:r>
        <w:rPr>
          <w:rFonts w:ascii="Calibri" w:hAnsi="Calibri" w:cs="Calibri"/>
          <w:sz w:val="21"/>
        </w:rPr>
        <w:t xml:space="preserve"> </w:t>
      </w:r>
      <w:r w:rsidR="00C6339D">
        <w:rPr>
          <w:rFonts w:ascii="Calibri" w:hAnsi="Calibri" w:cs="Calibri"/>
          <w:sz w:val="21"/>
        </w:rPr>
        <w:t>10</w:t>
      </w:r>
      <w:r w:rsidR="009A3AC5">
        <w:rPr>
          <w:rFonts w:ascii="Calibri" w:hAnsi="Calibri" w:cs="Calibri"/>
          <w:sz w:val="21"/>
        </w:rPr>
        <w:t xml:space="preserve"> maja</w:t>
      </w:r>
      <w:r>
        <w:rPr>
          <w:rFonts w:ascii="Calibri" w:hAnsi="Calibri" w:cs="Calibri"/>
          <w:sz w:val="21"/>
        </w:rPr>
        <w:t xml:space="preserve"> </w:t>
      </w:r>
      <w:r w:rsidRPr="00CF4FE0">
        <w:rPr>
          <w:rFonts w:ascii="Calibri" w:hAnsi="Calibri" w:cs="Calibri"/>
          <w:sz w:val="21"/>
        </w:rPr>
        <w:t>202</w:t>
      </w:r>
      <w:r>
        <w:rPr>
          <w:rFonts w:ascii="Calibri" w:hAnsi="Calibri" w:cs="Calibri"/>
          <w:sz w:val="21"/>
        </w:rPr>
        <w:t>3</w:t>
      </w:r>
    </w:p>
    <w:p w14:paraId="6AA8CB1F" w14:textId="77777777" w:rsidR="005D198C" w:rsidRPr="00CF4FE0" w:rsidRDefault="005D198C" w:rsidP="005D198C">
      <w:pPr>
        <w:spacing w:line="276" w:lineRule="auto"/>
        <w:rPr>
          <w:rFonts w:ascii="Calibri" w:hAnsi="Calibri" w:cs="Calibri"/>
          <w:sz w:val="21"/>
        </w:rPr>
      </w:pPr>
      <w:r w:rsidRPr="00CF4FE0">
        <w:rPr>
          <w:rFonts w:ascii="Calibri" w:hAnsi="Calibri" w:cs="Calibri"/>
          <w:sz w:val="21"/>
        </w:rPr>
        <w:t xml:space="preserve">Informacja prasowa </w:t>
      </w:r>
    </w:p>
    <w:p w14:paraId="0339FA7F" w14:textId="70187113" w:rsidR="00F5119E" w:rsidRPr="00B825FB" w:rsidRDefault="00F5119E" w:rsidP="00F5119E">
      <w:pPr>
        <w:spacing w:before="240" w:after="240" w:line="276" w:lineRule="auto"/>
        <w:rPr>
          <w:rFonts w:ascii="Calibri" w:hAnsi="Calibri" w:cs="Arial"/>
          <w:b/>
          <w:color w:val="7F7F7F" w:themeColor="text1" w:themeTint="80"/>
        </w:rPr>
      </w:pPr>
      <w:r w:rsidRPr="00B825FB">
        <w:rPr>
          <w:rFonts w:ascii="Calibri" w:hAnsi="Calibri" w:cs="Arial"/>
          <w:b/>
          <w:color w:val="7F7F7F" w:themeColor="text1" w:themeTint="80"/>
        </w:rPr>
        <w:t>Branżowy Barometr EFL na I</w:t>
      </w:r>
      <w:r w:rsidR="009A3AC5">
        <w:rPr>
          <w:rFonts w:ascii="Calibri" w:hAnsi="Calibri" w:cs="Arial"/>
          <w:b/>
          <w:color w:val="7F7F7F" w:themeColor="text1" w:themeTint="80"/>
        </w:rPr>
        <w:t>I</w:t>
      </w:r>
      <w:r w:rsidRPr="00B825FB">
        <w:rPr>
          <w:rFonts w:ascii="Calibri" w:hAnsi="Calibri" w:cs="Arial"/>
          <w:b/>
          <w:color w:val="7F7F7F" w:themeColor="text1" w:themeTint="80"/>
        </w:rPr>
        <w:t xml:space="preserve"> kwartał 202</w:t>
      </w:r>
      <w:r>
        <w:rPr>
          <w:rFonts w:ascii="Calibri" w:hAnsi="Calibri" w:cs="Arial"/>
          <w:b/>
          <w:color w:val="7F7F7F" w:themeColor="text1" w:themeTint="80"/>
        </w:rPr>
        <w:t>3</w:t>
      </w:r>
    </w:p>
    <w:p w14:paraId="624B7C14" w14:textId="579597B7" w:rsidR="00F5119E" w:rsidRPr="00C53F8E" w:rsidRDefault="00AB5CA4" w:rsidP="00C53F8E">
      <w:pPr>
        <w:spacing w:before="360" w:after="360"/>
        <w:jc w:val="center"/>
        <w:rPr>
          <w:rFonts w:ascii="Calibri" w:hAnsi="Calibri" w:cs="Calibri"/>
          <w:b/>
          <w:bCs/>
          <w:color w:val="2E8D9A"/>
          <w:sz w:val="32"/>
        </w:rPr>
      </w:pPr>
      <w:r>
        <w:rPr>
          <w:rFonts w:ascii="Calibri" w:hAnsi="Calibri" w:cs="Calibri"/>
          <w:b/>
          <w:bCs/>
          <w:color w:val="2E8D9A"/>
          <w:sz w:val="32"/>
        </w:rPr>
        <w:t>Firmy transportowe przyspieszają, ale coraz częściej boją się inflacji</w:t>
      </w:r>
    </w:p>
    <w:p w14:paraId="2542471B" w14:textId="713FA8F5" w:rsidR="00470F48" w:rsidRDefault="00470F48" w:rsidP="00607046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2"/>
          <w:szCs w:val="22"/>
        </w:rPr>
        <w:t>S</w:t>
      </w:r>
      <w:r w:rsidR="00F5119E" w:rsidRPr="00D92F8B">
        <w:rPr>
          <w:rFonts w:ascii="Calibri" w:hAnsi="Calibri" w:cs="Calibri"/>
          <w:b/>
          <w:color w:val="2E8D9A"/>
          <w:sz w:val="21"/>
          <w:szCs w:val="21"/>
        </w:rPr>
        <w:t xml:space="preserve">ubindeks Barometru EFL dla </w:t>
      </w:r>
      <w:r>
        <w:rPr>
          <w:rFonts w:ascii="Calibri" w:hAnsi="Calibri" w:cs="Calibri"/>
          <w:b/>
          <w:color w:val="2E8D9A"/>
          <w:sz w:val="21"/>
          <w:szCs w:val="21"/>
        </w:rPr>
        <w:t>transportu</w:t>
      </w:r>
      <w:r w:rsidR="00F5119E" w:rsidRPr="00D92F8B">
        <w:rPr>
          <w:rFonts w:ascii="Calibri" w:hAnsi="Calibri" w:cs="Calibri"/>
          <w:b/>
          <w:color w:val="2E8D9A"/>
          <w:sz w:val="21"/>
          <w:szCs w:val="21"/>
        </w:rPr>
        <w:t xml:space="preserve"> </w:t>
      </w:r>
      <w:r>
        <w:rPr>
          <w:rFonts w:ascii="Calibri" w:hAnsi="Calibri" w:cs="Calibri"/>
          <w:b/>
          <w:color w:val="2E8D9A"/>
          <w:sz w:val="21"/>
          <w:szCs w:val="21"/>
        </w:rPr>
        <w:t xml:space="preserve">na II kwartał 2023 roku </w:t>
      </w:r>
      <w:r w:rsidR="00F5119E" w:rsidRPr="00D92F8B">
        <w:rPr>
          <w:rFonts w:ascii="Calibri" w:hAnsi="Calibri" w:cs="Calibri"/>
          <w:b/>
          <w:color w:val="2E8D9A"/>
          <w:sz w:val="21"/>
          <w:szCs w:val="21"/>
        </w:rPr>
        <w:t xml:space="preserve">wyniósł </w:t>
      </w:r>
      <w:r>
        <w:rPr>
          <w:rFonts w:ascii="Calibri" w:hAnsi="Calibri" w:cs="Calibri"/>
          <w:b/>
          <w:color w:val="2E8D9A"/>
          <w:sz w:val="21"/>
          <w:szCs w:val="21"/>
        </w:rPr>
        <w:t>50,5</w:t>
      </w:r>
      <w:r w:rsidR="00F5119E" w:rsidRPr="00D92F8B">
        <w:rPr>
          <w:rFonts w:ascii="Calibri" w:hAnsi="Calibri" w:cs="Calibri"/>
          <w:b/>
          <w:color w:val="2E8D9A"/>
          <w:sz w:val="21"/>
          <w:szCs w:val="21"/>
        </w:rPr>
        <w:t xml:space="preserve"> pkt.</w:t>
      </w:r>
      <w:r>
        <w:rPr>
          <w:rFonts w:ascii="Calibri" w:hAnsi="Calibri" w:cs="Calibri"/>
          <w:b/>
          <w:color w:val="2E8D9A"/>
          <w:sz w:val="21"/>
          <w:szCs w:val="21"/>
        </w:rPr>
        <w:t>, co jest najwyższym wynikiem wśród sześciu badanych sektorów. Wskaźnik rośnie już trzeci kwartał z rzędu, tym razem o 0,6</w:t>
      </w:r>
      <w:r w:rsidR="00F5119E" w:rsidRPr="00D92F8B">
        <w:rPr>
          <w:rFonts w:ascii="Calibri" w:hAnsi="Calibri" w:cs="Calibri"/>
          <w:b/>
          <w:color w:val="2E8D9A"/>
          <w:sz w:val="21"/>
          <w:szCs w:val="21"/>
        </w:rPr>
        <w:t xml:space="preserve"> pkt. </w:t>
      </w:r>
      <w:r>
        <w:rPr>
          <w:rFonts w:ascii="Calibri" w:hAnsi="Calibri" w:cs="Calibri"/>
          <w:b/>
          <w:color w:val="2E8D9A"/>
          <w:sz w:val="21"/>
          <w:szCs w:val="21"/>
        </w:rPr>
        <w:t>w ujęciu kwartalnym</w:t>
      </w:r>
      <w:r w:rsidR="00427B6D">
        <w:rPr>
          <w:rFonts w:ascii="Calibri" w:hAnsi="Calibri" w:cs="Calibri"/>
          <w:b/>
          <w:color w:val="2E8D9A"/>
          <w:sz w:val="21"/>
          <w:szCs w:val="21"/>
        </w:rPr>
        <w:t>. Na taki wynik wpływ miały prognozy dotyczące sprzedaży i płynności finansowej. Tylko 6% firm spodziewa się mniejszych zamówień, podczas gdy w handlu ponad 30%, a w HoReCa prawie 50%. Choć firmy transportowe najrzadziej wśród badanych sektorów obawiają się negatywnego wpływu inflacji na ich biznes, to grupa pesymistów zwiększyła się w ujęciu kwartalnym (z 27,5% do 32,5%).</w:t>
      </w:r>
    </w:p>
    <w:p w14:paraId="3779F2BB" w14:textId="205C5FE1" w:rsidR="00F5119E" w:rsidRPr="00D92F8B" w:rsidRDefault="00F5119E" w:rsidP="00F5119E">
      <w:pPr>
        <w:spacing w:after="120"/>
        <w:jc w:val="both"/>
        <w:rPr>
          <w:rFonts w:ascii="Calibri" w:hAnsi="Calibri" w:cs="Calibri"/>
          <w:b/>
          <w:color w:val="2E8D9A"/>
          <w:sz w:val="22"/>
          <w:szCs w:val="22"/>
        </w:rPr>
      </w:pPr>
      <w:r w:rsidRPr="00D92F8B">
        <w:rPr>
          <w:rFonts w:ascii="Calibri" w:hAnsi="Calibri" w:cs="Calibri"/>
          <w:b/>
          <w:color w:val="2E8D9A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14:paraId="5C61D084" w14:textId="6E1EE4D5" w:rsidR="00F5119E" w:rsidRPr="00D92F8B" w:rsidRDefault="00F5119E" w:rsidP="00F5119E">
      <w:pPr>
        <w:spacing w:after="120"/>
        <w:jc w:val="both"/>
        <w:rPr>
          <w:rFonts w:ascii="Calibri" w:hAnsi="Calibri" w:cs="Calibri"/>
          <w:b/>
          <w:color w:val="2E8D9A"/>
          <w:sz w:val="22"/>
          <w:szCs w:val="22"/>
        </w:rPr>
      </w:pPr>
      <w:r w:rsidRPr="00D92F8B">
        <w:rPr>
          <w:rFonts w:ascii="Calibri" w:hAnsi="Calibri" w:cs="Calibri"/>
          <w:b/>
          <w:color w:val="2E8D9A"/>
          <w:sz w:val="22"/>
          <w:szCs w:val="22"/>
        </w:rPr>
        <w:t>Barometr EFL dla branży transportowej na I</w:t>
      </w:r>
      <w:r w:rsidR="009A3AC5">
        <w:rPr>
          <w:rFonts w:ascii="Calibri" w:hAnsi="Calibri" w:cs="Calibri"/>
          <w:b/>
          <w:color w:val="2E8D9A"/>
          <w:sz w:val="22"/>
          <w:szCs w:val="22"/>
        </w:rPr>
        <w:t>I</w:t>
      </w:r>
      <w:r w:rsidRPr="00D92F8B">
        <w:rPr>
          <w:rFonts w:ascii="Calibri" w:hAnsi="Calibri" w:cs="Calibri"/>
          <w:b/>
          <w:color w:val="2E8D9A"/>
          <w:sz w:val="22"/>
          <w:szCs w:val="22"/>
        </w:rPr>
        <w:t xml:space="preserve"> kwartał 2023:</w:t>
      </w:r>
    </w:p>
    <w:p w14:paraId="2F8936F7" w14:textId="3A996834" w:rsidR="00F5119E" w:rsidRPr="00D92F8B" w:rsidRDefault="00F5119E" w:rsidP="00F5119E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18"/>
          <w:szCs w:val="20"/>
        </w:rPr>
      </w:pPr>
      <w:r w:rsidRPr="00D92F8B">
        <w:rPr>
          <w:rFonts w:cs="Calibri"/>
          <w:b/>
          <w:sz w:val="18"/>
          <w:szCs w:val="20"/>
        </w:rPr>
        <w:t xml:space="preserve">Subindeks: </w:t>
      </w:r>
      <w:r w:rsidR="009A3AC5">
        <w:rPr>
          <w:rFonts w:cs="Calibri"/>
          <w:b/>
          <w:sz w:val="18"/>
          <w:szCs w:val="20"/>
        </w:rPr>
        <w:t>50,5</w:t>
      </w:r>
      <w:r w:rsidRPr="00D92F8B">
        <w:rPr>
          <w:rFonts w:cs="Calibri"/>
          <w:b/>
          <w:sz w:val="18"/>
          <w:szCs w:val="20"/>
        </w:rPr>
        <w:t xml:space="preserve"> pkt.</w:t>
      </w:r>
      <w:r w:rsidRPr="00D92F8B">
        <w:rPr>
          <w:rFonts w:cs="Calibri"/>
          <w:sz w:val="18"/>
          <w:szCs w:val="20"/>
        </w:rPr>
        <w:t xml:space="preserve"> (+</w:t>
      </w:r>
      <w:r w:rsidR="009A3AC5">
        <w:rPr>
          <w:rFonts w:cs="Calibri"/>
          <w:sz w:val="18"/>
          <w:szCs w:val="20"/>
        </w:rPr>
        <w:t>0,6</w:t>
      </w:r>
      <w:r w:rsidRPr="00D92F8B">
        <w:rPr>
          <w:rFonts w:cs="Calibri"/>
          <w:sz w:val="18"/>
          <w:szCs w:val="20"/>
        </w:rPr>
        <w:t xml:space="preserve"> pkt. kw./kw.)</w:t>
      </w:r>
    </w:p>
    <w:p w14:paraId="3E0E617F" w14:textId="5C97667C" w:rsidR="00F5119E" w:rsidRPr="00D92F8B" w:rsidRDefault="00F5119E" w:rsidP="00F5119E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18"/>
          <w:szCs w:val="20"/>
        </w:rPr>
      </w:pPr>
      <w:r w:rsidRPr="00D92F8B">
        <w:rPr>
          <w:rFonts w:cs="Calibri"/>
          <w:b/>
          <w:sz w:val="18"/>
          <w:szCs w:val="20"/>
        </w:rPr>
        <w:t>Inwestycje:</w:t>
      </w:r>
      <w:r w:rsidRPr="00D92F8B">
        <w:rPr>
          <w:rFonts w:cs="Calibri"/>
          <w:sz w:val="18"/>
          <w:szCs w:val="20"/>
        </w:rPr>
        <w:t xml:space="preserve"> 9</w:t>
      </w:r>
      <w:r w:rsidR="009A3AC5">
        <w:rPr>
          <w:rFonts w:cs="Calibri"/>
          <w:sz w:val="18"/>
          <w:szCs w:val="20"/>
        </w:rPr>
        <w:t>5</w:t>
      </w:r>
      <w:r w:rsidRPr="00D92F8B">
        <w:rPr>
          <w:rFonts w:cs="Calibri"/>
          <w:sz w:val="18"/>
          <w:szCs w:val="20"/>
        </w:rPr>
        <w:t xml:space="preserve"> proc. przedsiębiorców nie spodziewa się zmian w inwestycjach </w:t>
      </w:r>
    </w:p>
    <w:p w14:paraId="48BF0EB7" w14:textId="4B5109A8" w:rsidR="00F5119E" w:rsidRPr="00D92F8B" w:rsidRDefault="00F5119E" w:rsidP="00F5119E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18"/>
          <w:szCs w:val="20"/>
        </w:rPr>
      </w:pPr>
      <w:r w:rsidRPr="00D92F8B">
        <w:rPr>
          <w:rFonts w:cs="Calibri"/>
          <w:b/>
          <w:sz w:val="18"/>
          <w:szCs w:val="20"/>
        </w:rPr>
        <w:t>Sprzedaż</w:t>
      </w:r>
      <w:r w:rsidRPr="00D92F8B">
        <w:rPr>
          <w:rFonts w:cs="Calibri"/>
          <w:sz w:val="18"/>
          <w:szCs w:val="20"/>
        </w:rPr>
        <w:t xml:space="preserve">: </w:t>
      </w:r>
      <w:r w:rsidR="009A3AC5">
        <w:rPr>
          <w:rFonts w:cs="Calibri"/>
          <w:sz w:val="18"/>
          <w:szCs w:val="20"/>
        </w:rPr>
        <w:t>94</w:t>
      </w:r>
      <w:r w:rsidRPr="00D92F8B">
        <w:rPr>
          <w:rFonts w:cs="Calibri"/>
          <w:sz w:val="18"/>
          <w:szCs w:val="20"/>
        </w:rPr>
        <w:t xml:space="preserve"> proc. przedsiębiorców prognozuje </w:t>
      </w:r>
      <w:r w:rsidR="009A3AC5">
        <w:rPr>
          <w:rFonts w:cs="Calibri"/>
          <w:sz w:val="18"/>
          <w:szCs w:val="20"/>
        </w:rPr>
        <w:t>podobny poziom</w:t>
      </w:r>
      <w:r w:rsidRPr="00D92F8B">
        <w:rPr>
          <w:rFonts w:cs="Calibri"/>
          <w:sz w:val="18"/>
          <w:szCs w:val="20"/>
        </w:rPr>
        <w:t xml:space="preserve"> sprzedaży</w:t>
      </w:r>
      <w:r w:rsidR="009A3AC5">
        <w:rPr>
          <w:rFonts w:cs="Calibri"/>
          <w:sz w:val="18"/>
          <w:szCs w:val="20"/>
        </w:rPr>
        <w:t xml:space="preserve"> jak w I kwartale br.</w:t>
      </w:r>
    </w:p>
    <w:p w14:paraId="64A46A8E" w14:textId="568E7189" w:rsidR="00F5119E" w:rsidRPr="00D92F8B" w:rsidRDefault="00F5119E" w:rsidP="00F5119E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18"/>
          <w:szCs w:val="20"/>
        </w:rPr>
      </w:pPr>
      <w:r w:rsidRPr="00D92F8B">
        <w:rPr>
          <w:rFonts w:cs="Calibri"/>
          <w:b/>
          <w:sz w:val="18"/>
          <w:szCs w:val="20"/>
        </w:rPr>
        <w:t>Płynność finansowa</w:t>
      </w:r>
      <w:r w:rsidRPr="00D92F8B">
        <w:rPr>
          <w:rFonts w:cs="Calibri"/>
          <w:sz w:val="18"/>
          <w:szCs w:val="20"/>
        </w:rPr>
        <w:t xml:space="preserve">: </w:t>
      </w:r>
      <w:r w:rsidR="009A3AC5">
        <w:rPr>
          <w:rFonts w:cs="Calibri"/>
          <w:sz w:val="18"/>
          <w:szCs w:val="20"/>
        </w:rPr>
        <w:t>90</w:t>
      </w:r>
      <w:r w:rsidR="009A3AC5" w:rsidRPr="00D92F8B">
        <w:rPr>
          <w:rFonts w:cs="Calibri"/>
          <w:sz w:val="18"/>
          <w:szCs w:val="20"/>
        </w:rPr>
        <w:t xml:space="preserve"> proc. przedsiębiorców prognozuje </w:t>
      </w:r>
      <w:r w:rsidR="009A3AC5">
        <w:rPr>
          <w:rFonts w:cs="Calibri"/>
          <w:sz w:val="18"/>
          <w:szCs w:val="20"/>
        </w:rPr>
        <w:t>podobny poziom</w:t>
      </w:r>
      <w:r w:rsidR="009A3AC5" w:rsidRPr="00D92F8B">
        <w:rPr>
          <w:rFonts w:cs="Calibri"/>
          <w:sz w:val="18"/>
          <w:szCs w:val="20"/>
        </w:rPr>
        <w:t xml:space="preserve"> </w:t>
      </w:r>
      <w:r w:rsidR="009A3AC5">
        <w:rPr>
          <w:rFonts w:cs="Calibri"/>
          <w:sz w:val="18"/>
          <w:szCs w:val="20"/>
        </w:rPr>
        <w:t>płynności finansowej jak w I kwartale br.</w:t>
      </w:r>
    </w:p>
    <w:p w14:paraId="1298AEE4" w14:textId="7ED00BB3" w:rsidR="00F5119E" w:rsidRPr="00D92F8B" w:rsidRDefault="00F5119E" w:rsidP="00F5119E">
      <w:pPr>
        <w:pStyle w:val="Akapitzlist"/>
        <w:numPr>
          <w:ilvl w:val="0"/>
          <w:numId w:val="1"/>
        </w:numPr>
        <w:spacing w:after="120"/>
        <w:jc w:val="both"/>
        <w:rPr>
          <w:rFonts w:cs="Calibri"/>
          <w:sz w:val="18"/>
          <w:szCs w:val="20"/>
        </w:rPr>
      </w:pPr>
      <w:r w:rsidRPr="00D92F8B">
        <w:rPr>
          <w:rFonts w:cs="Calibri"/>
          <w:b/>
          <w:sz w:val="18"/>
          <w:szCs w:val="20"/>
        </w:rPr>
        <w:t>Finansowanie zewnętrzne:</w:t>
      </w:r>
      <w:r w:rsidRPr="00D92F8B">
        <w:rPr>
          <w:rFonts w:cs="Calibri"/>
          <w:sz w:val="18"/>
          <w:szCs w:val="20"/>
        </w:rPr>
        <w:t xml:space="preserve"> </w:t>
      </w:r>
      <w:r w:rsidR="009A3AC5">
        <w:rPr>
          <w:rFonts w:cs="Calibri"/>
          <w:sz w:val="18"/>
          <w:szCs w:val="20"/>
        </w:rPr>
        <w:t>86</w:t>
      </w:r>
      <w:r w:rsidR="009A3AC5" w:rsidRPr="00D92F8B">
        <w:rPr>
          <w:rFonts w:cs="Calibri"/>
          <w:sz w:val="18"/>
          <w:szCs w:val="20"/>
        </w:rPr>
        <w:t xml:space="preserve"> proc. przedsiębiorców prognozuje </w:t>
      </w:r>
      <w:r w:rsidR="009A3AC5">
        <w:rPr>
          <w:rFonts w:cs="Calibri"/>
          <w:sz w:val="18"/>
          <w:szCs w:val="20"/>
        </w:rPr>
        <w:t>zapotrzebowanie na finansowanie zewnętrzne na takim. samym poziomie jak w I kwartale br.</w:t>
      </w:r>
    </w:p>
    <w:p w14:paraId="5A132A70" w14:textId="2E504755" w:rsidR="00F5119E" w:rsidRPr="00D92F8B" w:rsidRDefault="00F5119E" w:rsidP="00F5119E">
      <w:pPr>
        <w:spacing w:after="120"/>
        <w:jc w:val="both"/>
        <w:rPr>
          <w:rFonts w:ascii="Calibri" w:hAnsi="Calibri" w:cs="Calibri"/>
          <w:b/>
          <w:color w:val="2E8D9A"/>
        </w:rPr>
      </w:pPr>
      <w:r w:rsidRPr="00D92F8B">
        <w:rPr>
          <w:rFonts w:ascii="Calibri" w:hAnsi="Calibri" w:cs="Calibri"/>
          <w:b/>
          <w:color w:val="2E8D9A"/>
        </w:rPr>
        <w:t>----------------------------------------------------------------------------------------------------------------------------</w:t>
      </w:r>
    </w:p>
    <w:p w14:paraId="00CBE5E6" w14:textId="3C39C00D" w:rsidR="00D77BE7" w:rsidRDefault="00D77BE7" w:rsidP="007F3AF5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 w:rsidRPr="00D92F8B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– </w:t>
      </w:r>
      <w:r w:rsidR="007F3AF5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W tym kwartale przekroczyliśmy kolejną optymistyczną granicę – próg ograniczonego rozwoju. Po raz pierwszy od ponad roku subindeks branżowy dla transportu wyniósł powyżej 50 pkt. Ostatni taki wynik odnotowaliśmy pod koniec 2021 roku. To dobra wiadomość, </w:t>
      </w:r>
      <w:r w:rsidR="00BF283E">
        <w:rPr>
          <w:rFonts w:ascii="Calibri" w:eastAsiaTheme="minorHAnsi" w:hAnsi="Calibri" w:cs="Calibri"/>
          <w:i/>
          <w:sz w:val="21"/>
          <w:szCs w:val="21"/>
          <w:lang w:eastAsia="en-US"/>
        </w:rPr>
        <w:t>ale</w:t>
      </w:r>
      <w:r w:rsidR="007F3AF5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 jedna jaskółka wiosny nie czyni. Wzrost wskaźnika jest w dużej mierze pochodną nadchodzącego sezonu</w:t>
      </w:r>
      <w:r w:rsidR="00BF283E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. </w:t>
      </w:r>
      <w:r w:rsidR="007F3AF5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Drugi kwartał to wielkanocne wyjazdy rodzinne, majówkowe urlopy i początek letnich wakacji. </w:t>
      </w:r>
      <w:r w:rsidR="00BF283E">
        <w:rPr>
          <w:rFonts w:ascii="Calibri" w:eastAsiaTheme="minorHAnsi" w:hAnsi="Calibri" w:cs="Calibri"/>
          <w:i/>
          <w:sz w:val="21"/>
          <w:szCs w:val="21"/>
          <w:lang w:eastAsia="en-US"/>
        </w:rPr>
        <w:t>W związku z tym</w:t>
      </w:r>
      <w:r w:rsidR="00BF283E" w:rsidRPr="007F3AF5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 </w:t>
      </w:r>
      <w:r w:rsidR="00BF283E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przewoźnicy </w:t>
      </w:r>
      <w:r w:rsidR="00BF283E" w:rsidRPr="007F3AF5">
        <w:rPr>
          <w:rFonts w:ascii="Calibri" w:eastAsiaTheme="minorHAnsi" w:hAnsi="Calibri" w:cs="Calibri"/>
          <w:i/>
          <w:sz w:val="21"/>
          <w:szCs w:val="21"/>
          <w:lang w:eastAsia="en-US"/>
        </w:rPr>
        <w:t>mogą zwiększyć zyski dzięki aktywności transportowej ludności</w:t>
      </w:r>
      <w:r w:rsidR="00BF283E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. </w:t>
      </w:r>
      <w:r w:rsidR="007F3AF5">
        <w:rPr>
          <w:rFonts w:ascii="Calibri" w:eastAsiaTheme="minorHAnsi" w:hAnsi="Calibri" w:cs="Calibri"/>
          <w:i/>
          <w:sz w:val="21"/>
          <w:szCs w:val="21"/>
          <w:lang w:eastAsia="en-US"/>
        </w:rPr>
        <w:t>Z uwagi na dużą niepewność na globalnych rynkach finansowych i w naszej gospodarce, wysoką inflację, cały czas trudno prognozować i formułować optymistyczne wnioski</w:t>
      </w:r>
      <w:r w:rsidRPr="00D92F8B">
        <w:rPr>
          <w:rFonts w:ascii="Calibri" w:eastAsiaTheme="minorHAnsi" w:hAnsi="Calibri" w:cs="Calibri"/>
          <w:i/>
          <w:sz w:val="21"/>
          <w:szCs w:val="21"/>
          <w:lang w:eastAsia="en-US"/>
        </w:rPr>
        <w:t xml:space="preserve"> 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– mówi </w:t>
      </w:r>
      <w:r w:rsidRPr="00D92F8B">
        <w:rPr>
          <w:rFonts w:ascii="Calibri" w:hAnsi="Calibri" w:cs="Calibri"/>
          <w:b/>
          <w:color w:val="2E8D9A"/>
          <w:sz w:val="21"/>
          <w:szCs w:val="21"/>
        </w:rPr>
        <w:t>Radosław Woźniak, prezes zarządu EFL.</w:t>
      </w:r>
    </w:p>
    <w:p w14:paraId="05C42350" w14:textId="77777777" w:rsidR="00F85960" w:rsidRPr="00D92F8B" w:rsidRDefault="00F85960" w:rsidP="00F85960">
      <w:pPr>
        <w:spacing w:after="120" w:line="360" w:lineRule="auto"/>
        <w:rPr>
          <w:rFonts w:ascii="Calibri" w:hAnsi="Calibri" w:cs="Calibri"/>
          <w:b/>
          <w:color w:val="2E8D9A"/>
          <w:sz w:val="21"/>
          <w:szCs w:val="21"/>
        </w:rPr>
      </w:pPr>
      <w:r w:rsidRPr="00D92F8B">
        <w:rPr>
          <w:rFonts w:ascii="Calibri" w:hAnsi="Calibri" w:cs="Calibri"/>
          <w:b/>
          <w:color w:val="2E8D9A"/>
          <w:sz w:val="21"/>
          <w:szCs w:val="21"/>
        </w:rPr>
        <w:t>Stabilna kondycja finansowa</w:t>
      </w:r>
    </w:p>
    <w:p w14:paraId="0198CFA9" w14:textId="77777777" w:rsidR="00F85960" w:rsidRDefault="00F85960" w:rsidP="00F85960">
      <w:pPr>
        <w:spacing w:after="120" w:line="360" w:lineRule="auto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Subindeks Barometru EFL na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I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I kwartał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2023 roku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dla branży transportowej 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podobnie jak trzy miesiące wcześniej 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był najwyższy wśród sześciu badanych branż i wyniósł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50,5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pkt., o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0,6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pkt. więcej niż w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pierwszym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kwartale 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tego 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roku. </w:t>
      </w:r>
    </w:p>
    <w:p w14:paraId="27234011" w14:textId="77777777" w:rsidR="00F85960" w:rsidRDefault="00F85960" w:rsidP="00F85960">
      <w:pPr>
        <w:spacing w:after="120" w:line="360" w:lineRule="auto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lastRenderedPageBreak/>
        <w:t xml:space="preserve">W obszarze inwestycyjnym wciąż nie widać większych ruchów. 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>W I</w:t>
      </w:r>
      <w:r>
        <w:rPr>
          <w:rFonts w:ascii="Calibri" w:eastAsiaTheme="minorHAnsi" w:hAnsi="Calibri" w:cs="Calibri"/>
          <w:sz w:val="21"/>
          <w:szCs w:val="21"/>
          <w:lang w:eastAsia="en-US"/>
        </w:rPr>
        <w:t>I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kwartale br. zdecydowana większość firm transportowych (9</w:t>
      </w:r>
      <w:r>
        <w:rPr>
          <w:rFonts w:ascii="Calibri" w:eastAsiaTheme="minorHAnsi" w:hAnsi="Calibri" w:cs="Calibri"/>
          <w:sz w:val="21"/>
          <w:szCs w:val="21"/>
          <w:lang w:eastAsia="en-US"/>
        </w:rPr>
        <w:t>5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%) planuje podobny poziom inwestycji co w poprzednich miesiącach, a tylko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4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% spodziewa je zwiększyć. </w:t>
      </w:r>
    </w:p>
    <w:p w14:paraId="1222F364" w14:textId="37837B74" w:rsidR="00F85960" w:rsidRDefault="00F85960" w:rsidP="00F85960">
      <w:pPr>
        <w:spacing w:after="120" w:line="360" w:lineRule="auto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Słabiej w porównaniu do poprzedniego kwartału 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wyglądają prognozy dotyczące sprzedaży.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Nikt nie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liczy na jej wzrost,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94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% spodziewa się podobnego poziomu zamówień co w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I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 kwartale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br.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, a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ponad 6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% obawia się ich spadku. </w:t>
      </w:r>
      <w:r>
        <w:rPr>
          <w:rFonts w:ascii="Calibri" w:eastAsiaTheme="minorHAnsi" w:hAnsi="Calibri" w:cs="Calibri"/>
          <w:sz w:val="21"/>
          <w:szCs w:val="21"/>
          <w:lang w:eastAsia="en-US"/>
        </w:rPr>
        <w:t>Na początku roku wyniki prezentowały się odpowiednio 7,5%, 88% i 4%.</w:t>
      </w:r>
    </w:p>
    <w:p w14:paraId="0E15D60F" w14:textId="45788AA0" w:rsidR="00F85960" w:rsidRPr="00D92F8B" w:rsidRDefault="00F85960" w:rsidP="00F85960">
      <w:pPr>
        <w:spacing w:after="120" w:line="360" w:lineRule="auto"/>
        <w:jc w:val="both"/>
        <w:rPr>
          <w:rFonts w:ascii="Calibri" w:eastAsiaTheme="minorHAnsi" w:hAnsi="Calibri" w:cs="Calibri"/>
          <w:sz w:val="21"/>
          <w:szCs w:val="21"/>
          <w:lang w:eastAsia="en-US"/>
        </w:rPr>
      </w:pP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Stabilnie jest w obszarze „płynność finansowa”. </w:t>
      </w:r>
      <w:r w:rsidR="009B273E">
        <w:rPr>
          <w:rFonts w:ascii="Calibri" w:eastAsiaTheme="minorHAnsi" w:hAnsi="Calibri" w:cs="Calibri"/>
          <w:sz w:val="21"/>
          <w:szCs w:val="21"/>
          <w:lang w:eastAsia="en-US"/>
        </w:rPr>
        <w:t>90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 xml:space="preserve">% uważa, że w najbliższych miesiącach będzie na takim samym poziomie, co w minionych miesiącach, a </w:t>
      </w:r>
      <w:r w:rsidR="009B273E">
        <w:rPr>
          <w:rFonts w:ascii="Calibri" w:eastAsiaTheme="minorHAnsi" w:hAnsi="Calibri" w:cs="Calibri"/>
          <w:sz w:val="21"/>
          <w:szCs w:val="21"/>
          <w:lang w:eastAsia="en-US"/>
        </w:rPr>
        <w:t>10</w:t>
      </w:r>
      <w:r w:rsidRPr="00D92F8B">
        <w:rPr>
          <w:rFonts w:ascii="Calibri" w:eastAsiaTheme="minorHAnsi" w:hAnsi="Calibri" w:cs="Calibri"/>
          <w:sz w:val="21"/>
          <w:szCs w:val="21"/>
          <w:lang w:eastAsia="en-US"/>
        </w:rPr>
        <w:t>% obawia się pogorszenia</w:t>
      </w:r>
      <w:r>
        <w:rPr>
          <w:rFonts w:ascii="Calibri" w:eastAsiaTheme="minorHAnsi" w:hAnsi="Calibri" w:cs="Calibri"/>
          <w:sz w:val="21"/>
          <w:szCs w:val="21"/>
          <w:lang w:eastAsia="en-US"/>
        </w:rPr>
        <w:t xml:space="preserve"> kondycji finansowej swojego przedsiębiorstwa.</w:t>
      </w:r>
      <w:r w:rsidR="009B273E">
        <w:rPr>
          <w:rFonts w:ascii="Calibri" w:eastAsiaTheme="minorHAnsi" w:hAnsi="Calibri" w:cs="Calibri"/>
          <w:sz w:val="21"/>
          <w:szCs w:val="21"/>
          <w:lang w:eastAsia="en-US"/>
        </w:rPr>
        <w:t xml:space="preserve"> W tym ostatnim wskaźniku widać pogorszenie w ujęciu kwartalnym o 7,5%.</w:t>
      </w:r>
    </w:p>
    <w:p w14:paraId="32E3499A" w14:textId="3F21577E" w:rsidR="00F5119E" w:rsidRPr="00D92F8B" w:rsidRDefault="00D77BE7" w:rsidP="00F5119E">
      <w:pPr>
        <w:spacing w:after="120" w:line="276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 w:rsidRPr="00D92F8B">
        <w:rPr>
          <w:rFonts w:ascii="Calibri" w:hAnsi="Calibri" w:cs="Calibri"/>
          <w:b/>
          <w:color w:val="2E8D9A"/>
          <w:sz w:val="21"/>
          <w:szCs w:val="21"/>
        </w:rPr>
        <w:t xml:space="preserve">Inflacja </w:t>
      </w:r>
      <w:r w:rsidR="009B273E">
        <w:rPr>
          <w:rFonts w:ascii="Calibri" w:hAnsi="Calibri" w:cs="Calibri"/>
          <w:b/>
          <w:color w:val="2E8D9A"/>
          <w:sz w:val="21"/>
          <w:szCs w:val="21"/>
        </w:rPr>
        <w:t>coraz groźniejsza</w:t>
      </w:r>
    </w:p>
    <w:p w14:paraId="416CB9D5" w14:textId="1868D5E9" w:rsidR="00E47950" w:rsidRPr="00D92F8B" w:rsidRDefault="00E47950" w:rsidP="00D77BE7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D92F8B">
        <w:rPr>
          <w:rFonts w:ascii="Calibri" w:hAnsi="Calibri" w:cs="Calibri"/>
          <w:sz w:val="21"/>
          <w:szCs w:val="21"/>
        </w:rPr>
        <w:t xml:space="preserve">Zapytane o wpływ wojny i inflacji na </w:t>
      </w:r>
      <w:r w:rsidR="00CF48B7">
        <w:rPr>
          <w:rFonts w:ascii="Calibri" w:hAnsi="Calibri" w:cs="Calibri"/>
          <w:sz w:val="21"/>
          <w:szCs w:val="21"/>
        </w:rPr>
        <w:t>prowadzony biznes</w:t>
      </w:r>
      <w:r w:rsidRPr="00D92F8B">
        <w:rPr>
          <w:rFonts w:ascii="Calibri" w:hAnsi="Calibri" w:cs="Calibri"/>
          <w:sz w:val="21"/>
          <w:szCs w:val="21"/>
        </w:rPr>
        <w:t xml:space="preserve"> firmy transportowe </w:t>
      </w:r>
      <w:r w:rsidR="009B273E">
        <w:rPr>
          <w:rFonts w:ascii="Calibri" w:hAnsi="Calibri" w:cs="Calibri"/>
          <w:sz w:val="21"/>
          <w:szCs w:val="21"/>
        </w:rPr>
        <w:t xml:space="preserve">ponownie </w:t>
      </w:r>
      <w:r w:rsidRPr="00D92F8B">
        <w:rPr>
          <w:rFonts w:ascii="Calibri" w:hAnsi="Calibri" w:cs="Calibri"/>
          <w:sz w:val="21"/>
          <w:szCs w:val="21"/>
        </w:rPr>
        <w:t>pozytywnie wyróżniają się w</w:t>
      </w:r>
      <w:r w:rsidR="00D77BE7" w:rsidRPr="00D92F8B">
        <w:rPr>
          <w:rFonts w:ascii="Calibri" w:hAnsi="Calibri" w:cs="Calibri"/>
          <w:sz w:val="21"/>
          <w:szCs w:val="21"/>
        </w:rPr>
        <w:t>śród sześciu badanych sektorów (budownictwo, handel, HoReCa, przemysł, transport, usługi)</w:t>
      </w:r>
      <w:r w:rsidRPr="00D92F8B">
        <w:rPr>
          <w:rFonts w:ascii="Calibri" w:hAnsi="Calibri" w:cs="Calibri"/>
          <w:sz w:val="21"/>
          <w:szCs w:val="21"/>
        </w:rPr>
        <w:t xml:space="preserve">. </w:t>
      </w:r>
      <w:r w:rsidR="00D77BE7" w:rsidRPr="00D92F8B">
        <w:rPr>
          <w:rFonts w:ascii="Calibri" w:hAnsi="Calibri" w:cs="Calibri"/>
          <w:sz w:val="21"/>
          <w:szCs w:val="21"/>
        </w:rPr>
        <w:t xml:space="preserve">Na negatywny wpływ wojny na ich </w:t>
      </w:r>
      <w:r w:rsidRPr="00D92F8B">
        <w:rPr>
          <w:rFonts w:ascii="Calibri" w:hAnsi="Calibri" w:cs="Calibri"/>
          <w:sz w:val="21"/>
          <w:szCs w:val="21"/>
        </w:rPr>
        <w:t xml:space="preserve">działalność </w:t>
      </w:r>
      <w:r w:rsidR="00D77BE7" w:rsidRPr="00D92F8B">
        <w:rPr>
          <w:rFonts w:ascii="Calibri" w:hAnsi="Calibri" w:cs="Calibri"/>
          <w:sz w:val="21"/>
          <w:szCs w:val="21"/>
        </w:rPr>
        <w:t xml:space="preserve">wskazuje </w:t>
      </w:r>
      <w:r w:rsidR="009B273E">
        <w:rPr>
          <w:rFonts w:ascii="Calibri" w:hAnsi="Calibri" w:cs="Calibri"/>
          <w:sz w:val="21"/>
          <w:szCs w:val="21"/>
        </w:rPr>
        <w:t>7</w:t>
      </w:r>
      <w:r w:rsidR="00D77BE7" w:rsidRPr="00D92F8B">
        <w:rPr>
          <w:rFonts w:ascii="Calibri" w:hAnsi="Calibri" w:cs="Calibri"/>
          <w:sz w:val="21"/>
          <w:szCs w:val="21"/>
        </w:rPr>
        <w:t xml:space="preserve">,5% zapytanych, podczas gdy wśród pozostałych sektorów wyniki oscylują na poziomie </w:t>
      </w:r>
      <w:r w:rsidR="009B273E">
        <w:rPr>
          <w:rFonts w:ascii="Calibri" w:hAnsi="Calibri" w:cs="Calibri"/>
          <w:sz w:val="21"/>
          <w:szCs w:val="21"/>
        </w:rPr>
        <w:t>20</w:t>
      </w:r>
      <w:r w:rsidR="00D77BE7" w:rsidRPr="00D92F8B">
        <w:rPr>
          <w:rFonts w:ascii="Calibri" w:hAnsi="Calibri" w:cs="Calibri"/>
          <w:sz w:val="21"/>
          <w:szCs w:val="21"/>
        </w:rPr>
        <w:t>%</w:t>
      </w:r>
      <w:r w:rsidR="009B273E">
        <w:rPr>
          <w:rFonts w:ascii="Calibri" w:hAnsi="Calibri" w:cs="Calibri"/>
          <w:sz w:val="21"/>
          <w:szCs w:val="21"/>
        </w:rPr>
        <w:t>-40%</w:t>
      </w:r>
      <w:r w:rsidR="00D77BE7" w:rsidRPr="00D92F8B">
        <w:rPr>
          <w:rFonts w:ascii="Calibri" w:hAnsi="Calibri" w:cs="Calibri"/>
          <w:sz w:val="21"/>
          <w:szCs w:val="21"/>
        </w:rPr>
        <w:t xml:space="preserve">. </w:t>
      </w:r>
    </w:p>
    <w:p w14:paraId="3CE5429F" w14:textId="77777777" w:rsidR="009B273E" w:rsidRDefault="009B273E" w:rsidP="00F4652B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Wię</w:t>
      </w:r>
      <w:r w:rsidR="00E47950" w:rsidRPr="00D92F8B">
        <w:rPr>
          <w:rFonts w:ascii="Calibri" w:hAnsi="Calibri" w:cs="Calibri"/>
          <w:sz w:val="21"/>
          <w:szCs w:val="21"/>
        </w:rPr>
        <w:t xml:space="preserve">cej firm transportowych obawia się inflacji, choć jest to i tak mniej liczna grupa niż w przypadku pozostałych branż. </w:t>
      </w:r>
      <w:r>
        <w:rPr>
          <w:rFonts w:ascii="Calibri" w:hAnsi="Calibri" w:cs="Calibri"/>
          <w:sz w:val="21"/>
          <w:szCs w:val="21"/>
        </w:rPr>
        <w:t>32</w:t>
      </w:r>
      <w:r w:rsidR="00D77BE7" w:rsidRPr="00D92F8B">
        <w:rPr>
          <w:rFonts w:ascii="Calibri" w:hAnsi="Calibri" w:cs="Calibri"/>
          <w:sz w:val="21"/>
          <w:szCs w:val="21"/>
        </w:rPr>
        <w:t xml:space="preserve">,5% przedsiębiorstw transportowych </w:t>
      </w:r>
      <w:r w:rsidR="00E47950" w:rsidRPr="00D92F8B">
        <w:rPr>
          <w:rFonts w:ascii="Calibri" w:hAnsi="Calibri" w:cs="Calibri"/>
          <w:sz w:val="21"/>
          <w:szCs w:val="21"/>
        </w:rPr>
        <w:t>boi się</w:t>
      </w:r>
      <w:r w:rsidR="00D77BE7" w:rsidRPr="00D92F8B">
        <w:rPr>
          <w:rFonts w:ascii="Calibri" w:hAnsi="Calibri" w:cs="Calibri"/>
          <w:sz w:val="21"/>
          <w:szCs w:val="21"/>
        </w:rPr>
        <w:t xml:space="preserve"> pogorszenia kondycji swojego biznesu w związku z rosnącą inflacją, podczas gdy w innych sektorach wyniki są nawet dwa razy wyższe. W HoReCa tak odpowiedziało aż </w:t>
      </w:r>
      <w:r>
        <w:rPr>
          <w:rFonts w:ascii="Calibri" w:hAnsi="Calibri" w:cs="Calibri"/>
          <w:sz w:val="21"/>
          <w:szCs w:val="21"/>
        </w:rPr>
        <w:t>80</w:t>
      </w:r>
      <w:r w:rsidR="00D77BE7" w:rsidRPr="00D92F8B">
        <w:rPr>
          <w:rFonts w:ascii="Calibri" w:hAnsi="Calibri" w:cs="Calibri"/>
          <w:sz w:val="21"/>
          <w:szCs w:val="21"/>
        </w:rPr>
        <w:t xml:space="preserve">% zapytanych, w handlu – </w:t>
      </w:r>
      <w:r>
        <w:rPr>
          <w:rFonts w:ascii="Calibri" w:hAnsi="Calibri" w:cs="Calibri"/>
          <w:sz w:val="21"/>
          <w:szCs w:val="21"/>
        </w:rPr>
        <w:t>7</w:t>
      </w:r>
      <w:r w:rsidR="00D77BE7" w:rsidRPr="00D92F8B">
        <w:rPr>
          <w:rFonts w:ascii="Calibri" w:hAnsi="Calibri" w:cs="Calibri"/>
          <w:sz w:val="21"/>
          <w:szCs w:val="21"/>
        </w:rPr>
        <w:t>3%,</w:t>
      </w:r>
      <w:r>
        <w:rPr>
          <w:rFonts w:ascii="Calibri" w:hAnsi="Calibri" w:cs="Calibri"/>
          <w:sz w:val="21"/>
          <w:szCs w:val="21"/>
        </w:rPr>
        <w:t xml:space="preserve"> </w:t>
      </w:r>
      <w:r w:rsidRPr="00D92F8B">
        <w:rPr>
          <w:rFonts w:ascii="Calibri" w:hAnsi="Calibri" w:cs="Calibri"/>
          <w:sz w:val="21"/>
          <w:szCs w:val="21"/>
        </w:rPr>
        <w:t>w przemyśle</w:t>
      </w:r>
      <w:r>
        <w:rPr>
          <w:rFonts w:ascii="Calibri" w:hAnsi="Calibri" w:cs="Calibri"/>
          <w:sz w:val="21"/>
          <w:szCs w:val="21"/>
        </w:rPr>
        <w:t xml:space="preserve"> 56%,</w:t>
      </w:r>
      <w:r w:rsidR="00D77BE7" w:rsidRPr="00D92F8B">
        <w:rPr>
          <w:rFonts w:ascii="Calibri" w:hAnsi="Calibri" w:cs="Calibri"/>
          <w:sz w:val="21"/>
          <w:szCs w:val="21"/>
        </w:rPr>
        <w:t xml:space="preserve"> w budownictwie 5</w:t>
      </w:r>
      <w:r>
        <w:rPr>
          <w:rFonts w:ascii="Calibri" w:hAnsi="Calibri" w:cs="Calibri"/>
          <w:sz w:val="21"/>
          <w:szCs w:val="21"/>
        </w:rPr>
        <w:t>4</w:t>
      </w:r>
      <w:r w:rsidR="00D77BE7" w:rsidRPr="00D92F8B">
        <w:rPr>
          <w:rFonts w:ascii="Calibri" w:hAnsi="Calibri" w:cs="Calibri"/>
          <w:sz w:val="21"/>
          <w:szCs w:val="21"/>
        </w:rPr>
        <w:t xml:space="preserve">%, </w:t>
      </w:r>
      <w:r>
        <w:rPr>
          <w:rFonts w:ascii="Calibri" w:hAnsi="Calibri" w:cs="Calibri"/>
          <w:sz w:val="21"/>
          <w:szCs w:val="21"/>
        </w:rPr>
        <w:t xml:space="preserve">a w </w:t>
      </w:r>
      <w:r w:rsidR="00D77BE7" w:rsidRPr="00D92F8B">
        <w:rPr>
          <w:rFonts w:ascii="Calibri" w:hAnsi="Calibri" w:cs="Calibri"/>
          <w:sz w:val="21"/>
          <w:szCs w:val="21"/>
        </w:rPr>
        <w:t xml:space="preserve">usługach </w:t>
      </w:r>
      <w:r>
        <w:rPr>
          <w:rFonts w:ascii="Calibri" w:hAnsi="Calibri" w:cs="Calibri"/>
          <w:sz w:val="21"/>
          <w:szCs w:val="21"/>
        </w:rPr>
        <w:t>53%</w:t>
      </w:r>
      <w:r w:rsidR="00D77BE7" w:rsidRPr="00D92F8B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78E25276" w14:textId="4418A504" w:rsidR="009B273E" w:rsidRDefault="009B273E" w:rsidP="00F4652B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>
        <w:rPr>
          <w:rFonts w:ascii="Calibri" w:hAnsi="Calibri" w:cs="Calibri"/>
          <w:sz w:val="21"/>
          <w:szCs w:val="21"/>
        </w:rPr>
        <w:t xml:space="preserve">– </w:t>
      </w:r>
      <w:r w:rsidRPr="009B273E">
        <w:rPr>
          <w:rFonts w:ascii="Calibri" w:hAnsi="Calibri" w:cs="Calibri"/>
          <w:i/>
          <w:sz w:val="21"/>
          <w:szCs w:val="21"/>
        </w:rPr>
        <w:t>Warto jednak zwrócić uwagę, że rośnie liczba przedsiębiorców obawiających się negatywnego wpływu inflacji na prowadzoną działalność. Na początku roku ta grupa liczyła 27,5% firm transportowych, w II kwartale br. 32,5%. Jesteśmy wciąż pod silnym wpływem rosnących cen i na razie trudno, aby to się zmieniło</w:t>
      </w:r>
      <w:r>
        <w:rPr>
          <w:rFonts w:ascii="Calibri" w:hAnsi="Calibri" w:cs="Calibri"/>
          <w:sz w:val="21"/>
          <w:szCs w:val="21"/>
        </w:rPr>
        <w:t xml:space="preserve"> – dodaje </w:t>
      </w:r>
      <w:r w:rsidRPr="009B273E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prezes EFL.</w:t>
      </w:r>
    </w:p>
    <w:p w14:paraId="002114A8" w14:textId="0046AD94" w:rsidR="00C6339D" w:rsidRDefault="00C6339D" w:rsidP="00F4652B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Okiem eksperta</w:t>
      </w:r>
    </w:p>
    <w:p w14:paraId="79046110" w14:textId="5482FBE7" w:rsidR="00C6339D" w:rsidRPr="004F7105" w:rsidRDefault="00C6339D" w:rsidP="004F7105">
      <w:pPr>
        <w:jc w:val="both"/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</w:pPr>
      <w:r w:rsidRPr="004F7105">
        <w:rPr>
          <w:rStyle w:val="font"/>
          <w:rFonts w:asciiTheme="minorHAnsi" w:hAnsiTheme="minorHAnsi" w:cstheme="minorHAnsi"/>
          <w:color w:val="000000"/>
          <w:sz w:val="22"/>
          <w:szCs w:val="22"/>
        </w:rPr>
        <w:t xml:space="preserve">Zdaniem </w:t>
      </w:r>
      <w:r w:rsidRPr="004F7105">
        <w:rPr>
          <w:rFonts w:asciiTheme="minorHAnsi" w:hAnsiTheme="minorHAnsi" w:cstheme="minorHAnsi"/>
          <w:b/>
          <w:bCs/>
          <w:color w:val="009597"/>
          <w:sz w:val="22"/>
          <w:szCs w:val="22"/>
          <w:shd w:val="clear" w:color="auto" w:fill="FEFEFE"/>
        </w:rPr>
        <w:t xml:space="preserve">Moniki </w:t>
      </w:r>
      <w:proofErr w:type="spellStart"/>
      <w:r w:rsidRPr="004F7105">
        <w:rPr>
          <w:rFonts w:asciiTheme="minorHAnsi" w:hAnsiTheme="minorHAnsi" w:cstheme="minorHAnsi"/>
          <w:b/>
          <w:bCs/>
          <w:color w:val="009597"/>
          <w:sz w:val="22"/>
          <w:szCs w:val="22"/>
          <w:shd w:val="clear" w:color="auto" w:fill="FEFEFE"/>
        </w:rPr>
        <w:t>Dobrzyńskiej-Bluj</w:t>
      </w:r>
      <w:proofErr w:type="spellEnd"/>
      <w:r w:rsidRPr="004F7105">
        <w:rPr>
          <w:rFonts w:asciiTheme="minorHAnsi" w:hAnsiTheme="minorHAnsi" w:cstheme="minorHAnsi"/>
          <w:b/>
          <w:bCs/>
          <w:color w:val="009597"/>
          <w:sz w:val="22"/>
          <w:szCs w:val="22"/>
          <w:shd w:val="clear" w:color="auto" w:fill="FEFEFE"/>
        </w:rPr>
        <w:t xml:space="preserve">, Dyrektorki  Generalnej  </w:t>
      </w:r>
      <w:proofErr w:type="spellStart"/>
      <w:r w:rsidRPr="004F7105">
        <w:rPr>
          <w:rFonts w:asciiTheme="minorHAnsi" w:hAnsiTheme="minorHAnsi" w:cstheme="minorHAnsi"/>
          <w:b/>
          <w:bCs/>
          <w:color w:val="009597"/>
          <w:sz w:val="22"/>
          <w:szCs w:val="22"/>
          <w:shd w:val="clear" w:color="auto" w:fill="FEFEFE"/>
        </w:rPr>
        <w:t>Schwarzmϋller</w:t>
      </w:r>
      <w:proofErr w:type="spellEnd"/>
      <w:r w:rsidRPr="004F7105">
        <w:rPr>
          <w:rFonts w:asciiTheme="minorHAnsi" w:hAnsiTheme="minorHAnsi" w:cstheme="minorHAnsi"/>
          <w:b/>
          <w:bCs/>
          <w:color w:val="009597"/>
          <w:sz w:val="22"/>
          <w:szCs w:val="22"/>
          <w:shd w:val="clear" w:color="auto" w:fill="FEFEFE"/>
        </w:rPr>
        <w:t xml:space="preserve"> Polska</w:t>
      </w:r>
      <w:r w:rsidRPr="004F7105">
        <w:rPr>
          <w:rFonts w:asciiTheme="minorHAnsi" w:hAnsiTheme="minorHAnsi" w:cstheme="minorHAnsi"/>
          <w:b/>
          <w:bCs/>
          <w:color w:val="007856"/>
          <w:sz w:val="22"/>
          <w:szCs w:val="22"/>
          <w:shd w:val="clear" w:color="auto" w:fill="FEFEFE"/>
        </w:rPr>
        <w:t xml:space="preserve"> - </w:t>
      </w:r>
      <w:r w:rsidRPr="004F7105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analizując wyniki badania Barometr EFL za II kwartał należałoby powiedzieć, że sektor transportu i logistyki na tle pozostałych branż reprezentuje się optymistycznie. </w:t>
      </w:r>
    </w:p>
    <w:p w14:paraId="4006A722" w14:textId="77777777" w:rsidR="004F7105" w:rsidRPr="004F7105" w:rsidRDefault="004F7105" w:rsidP="004F71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DFB1B" w14:textId="69E45CFA" w:rsidR="0038796D" w:rsidRPr="0038796D" w:rsidRDefault="00C6339D" w:rsidP="0038796D">
      <w:pPr>
        <w:jc w:val="both"/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</w:pPr>
      <w:r w:rsidRPr="004F7105">
        <w:rPr>
          <w:rStyle w:val="font"/>
          <w:rFonts w:asciiTheme="minorHAnsi" w:hAnsiTheme="minorHAnsi" w:cstheme="minorHAnsi"/>
          <w:color w:val="000000"/>
          <w:sz w:val="22"/>
          <w:szCs w:val="22"/>
        </w:rPr>
        <w:t>Jednak jak dodaje ekspertka – jej perspektywa j</w:t>
      </w:r>
      <w:r w:rsidR="00FC7484" w:rsidRPr="004F7105">
        <w:rPr>
          <w:rStyle w:val="font"/>
          <w:rFonts w:asciiTheme="minorHAnsi" w:hAnsiTheme="minorHAnsi" w:cstheme="minorHAnsi"/>
          <w:color w:val="000000"/>
          <w:sz w:val="22"/>
          <w:szCs w:val="22"/>
        </w:rPr>
        <w:t xml:space="preserve">est nieco mniej optymistyczna - </w:t>
      </w:r>
      <w:r w:rsidR="00FC7484" w:rsidRPr="004F7105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4F7105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>d początku 2023 r. rzeczywiście rynek nowych samochodów ciężarowych o DMC&gt;3,5T oraz naczep i przyczep powiększył się. Trzeba mieć jednak na uwadze, że rejestracje są konsekwencją zamówień złożonych co najmniej kilka miesięcy wcześniej. Dziś widzimy niską skłonność do podejmowania nowych inwestycji w obszarze zakupu środków trwałych.  Zamknięcie kolejnego przejścia granicznego na wschodniej granicy wpływa na pogorszenie się nastrojów wśród branży transportowej i jest dodatkowym czynnikiem przyczyniającym s</w:t>
      </w:r>
      <w:r w:rsidR="00FC7484" w:rsidRPr="004F7105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ię </w:t>
      </w:r>
      <w:r w:rsidRPr="004F7105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 do obserwowanego</w:t>
      </w:r>
      <w:r w:rsidRPr="00C6339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 w minionych miesiącach, spadku stawek za przewozy. Tendencja taka utrzymuje się w większości państw UE. W tym sensie wojna ma </w:t>
      </w:r>
      <w:r w:rsidRPr="00C6339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lastRenderedPageBreak/>
        <w:t>negatywny wpływ na przedsiębiorstwa</w:t>
      </w:r>
      <w:r w:rsidR="00FC7484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 transportowe</w:t>
      </w:r>
      <w:bookmarkStart w:id="0" w:name="_GoBack"/>
      <w:r w:rsidR="0038796D" w:rsidRPr="0038796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FC7484" w:rsidRPr="0038796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 xml:space="preserve">57,5 </w:t>
      </w:r>
      <w:r w:rsidRPr="0038796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>% przedsiębiorców obawia się rosnących kosztów prowadzenia działalności, co przy równoczesnym  spadku sprzedaży/ zamówień, braku kierowców, powoduje, że potrzebne są działania minimalizujące wpływ negatywnych czynników. Zgodnie z badaniem to sektor transport i logistyka są najbardziej skłonne do rezygnacji z dodatkowych składników wynagrodzenia i podwyżek (50%). Utrzymanie płynności finansowej w sektorze transportu i logistyki staje się aktualnym wyzwaniem</w:t>
      </w:r>
      <w:r w:rsidR="0038796D" w:rsidRPr="0038796D">
        <w:rPr>
          <w:rStyle w:val="font"/>
          <w:rFonts w:asciiTheme="minorHAnsi" w:hAnsiTheme="minorHAnsi" w:cstheme="minorHAnsi"/>
          <w:i/>
          <w:color w:val="000000"/>
          <w:sz w:val="22"/>
          <w:szCs w:val="22"/>
        </w:rPr>
        <w:t>.”</w:t>
      </w:r>
    </w:p>
    <w:bookmarkEnd w:id="0"/>
    <w:p w14:paraId="327DC9D4" w14:textId="17864266" w:rsidR="00C6339D" w:rsidRPr="0038796D" w:rsidRDefault="00C6339D" w:rsidP="0038796D">
      <w:pPr>
        <w:jc w:val="both"/>
      </w:pPr>
      <w:r w:rsidRPr="00FC7484">
        <w:rPr>
          <w:rStyle w:val="font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0D1D0AF2" w14:textId="10C19933" w:rsidR="00F5119E" w:rsidRPr="00D92F8B" w:rsidRDefault="00F5119E" w:rsidP="00F4652B">
      <w:pPr>
        <w:spacing w:after="120" w:line="360" w:lineRule="auto"/>
        <w:jc w:val="both"/>
        <w:rPr>
          <w:rFonts w:ascii="Calibri" w:eastAsiaTheme="minorHAnsi" w:hAnsi="Calibri" w:cs="Calibri"/>
          <w:b/>
          <w:sz w:val="21"/>
          <w:szCs w:val="21"/>
          <w:lang w:eastAsia="en-US"/>
        </w:rPr>
      </w:pP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>Wartość głównego indeksu Barometru EFL na I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>I</w:t>
      </w:r>
      <w:r w:rsidR="00F4652B"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>kwartał 202</w:t>
      </w:r>
      <w:r w:rsidR="00CF48B7">
        <w:rPr>
          <w:rFonts w:ascii="Calibri" w:eastAsiaTheme="minorHAnsi" w:hAnsi="Calibri" w:cs="Calibri"/>
          <w:b/>
          <w:sz w:val="21"/>
          <w:szCs w:val="21"/>
          <w:lang w:eastAsia="en-US"/>
        </w:rPr>
        <w:t>3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roku wyniosła 4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>7,7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pkt. Osiągnięty poziom jest o 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>0,8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pkt. 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>niższy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niż w I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>kwartale 202</w:t>
      </w:r>
      <w:r w:rsidR="009A3AC5">
        <w:rPr>
          <w:rFonts w:ascii="Calibri" w:eastAsiaTheme="minorHAnsi" w:hAnsi="Calibri" w:cs="Calibri"/>
          <w:b/>
          <w:sz w:val="21"/>
          <w:szCs w:val="21"/>
          <w:lang w:eastAsia="en-US"/>
        </w:rPr>
        <w:t>3</w:t>
      </w:r>
      <w:r w:rsidRPr="00D92F8B">
        <w:rPr>
          <w:rFonts w:ascii="Calibri" w:eastAsiaTheme="minorHAnsi" w:hAnsi="Calibri" w:cs="Calibri"/>
          <w:b/>
          <w:sz w:val="21"/>
          <w:szCs w:val="21"/>
          <w:lang w:eastAsia="en-US"/>
        </w:rPr>
        <w:t xml:space="preserve"> roku.</w:t>
      </w:r>
    </w:p>
    <w:p w14:paraId="1D52D801" w14:textId="77777777" w:rsidR="00F4652B" w:rsidRPr="008A6499" w:rsidRDefault="00F4652B" w:rsidP="00F4652B">
      <w:pPr>
        <w:pStyle w:val="HTML-wstpniesformatowany"/>
        <w:spacing w:after="120"/>
        <w:jc w:val="center"/>
        <w:rPr>
          <w:rFonts w:asciiTheme="minorHAnsi" w:hAnsiTheme="minorHAnsi" w:cstheme="minorHAnsi"/>
          <w:b/>
          <w:color w:val="1C867C"/>
          <w:sz w:val="22"/>
          <w:szCs w:val="22"/>
        </w:rPr>
      </w:pPr>
      <w:r w:rsidRPr="008A6499">
        <w:rPr>
          <w:rStyle w:val="y2iqfc"/>
          <w:rFonts w:asciiTheme="minorHAnsi" w:hAnsiTheme="minorHAnsi" w:cstheme="minorHAnsi"/>
          <w:b/>
          <w:color w:val="1C867C"/>
          <w:sz w:val="22"/>
          <w:szCs w:val="22"/>
        </w:rPr>
        <w:t>***</w:t>
      </w:r>
    </w:p>
    <w:p w14:paraId="60F90D63" w14:textId="529D207E" w:rsidR="00505244" w:rsidRPr="00505244" w:rsidRDefault="00505244" w:rsidP="00505244">
      <w:pPr>
        <w:spacing w:after="120"/>
        <w:jc w:val="both"/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</w:pPr>
      <w:r w:rsidRPr="00505244">
        <w:rPr>
          <w:rFonts w:ascii="Calibri" w:hAnsi="Calibri" w:cs="Calibri"/>
          <w:b/>
          <w:color w:val="2E8D9A"/>
          <w:sz w:val="22"/>
          <w:szCs w:val="22"/>
        </w:rPr>
        <w:t>Barometr EFL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Ecorys na zlecenie Europejskiego</w:t>
      </w:r>
      <w:r w:rsidR="00F4652B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 xml:space="preserve"> 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>Funduszu Leasingowego S</w:t>
      </w:r>
      <w:r w:rsidR="00F4652B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>.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 xml:space="preserve">A., a jego wyniki są publikowane co kwartał. Jego uczestnicy to mikro, małe i średnie firmy terenu całej Polski. W badaniu wzięła udział reprezentatywna grupa 600 mikro, małych i średnich firm. Aktualna edycja badania odbyła się od </w:t>
      </w:r>
      <w:r w:rsidR="00FC7484" w:rsidRPr="00FC7484">
        <w:rPr>
          <w:rFonts w:ascii="Calibri" w:eastAsiaTheme="minorHAnsi" w:hAnsi="Calibri" w:cs="Calibri"/>
          <w:b/>
          <w:bCs/>
          <w:color w:val="000000" w:themeColor="text1"/>
          <w:sz w:val="20"/>
          <w:szCs w:val="22"/>
          <w:lang w:eastAsia="en-US"/>
        </w:rPr>
        <w:t>06 do 30 marca 2023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>.</w:t>
      </w:r>
    </w:p>
    <w:p w14:paraId="5469B21A" w14:textId="77777777" w:rsidR="00D06FE1" w:rsidRPr="008A6499" w:rsidRDefault="00D06FE1" w:rsidP="008A4B3F">
      <w:pPr>
        <w:pStyle w:val="HTML-wstpniesformatowany"/>
        <w:spacing w:after="120"/>
        <w:jc w:val="center"/>
        <w:rPr>
          <w:rFonts w:asciiTheme="minorHAnsi" w:hAnsiTheme="minorHAnsi" w:cstheme="minorHAnsi"/>
          <w:b/>
          <w:color w:val="1C867C"/>
          <w:sz w:val="22"/>
          <w:szCs w:val="22"/>
        </w:rPr>
      </w:pPr>
      <w:r w:rsidRPr="008A6499">
        <w:rPr>
          <w:rStyle w:val="y2iqfc"/>
          <w:rFonts w:asciiTheme="minorHAnsi" w:hAnsiTheme="minorHAnsi" w:cstheme="minorHAnsi"/>
          <w:b/>
          <w:color w:val="1C867C"/>
          <w:sz w:val="22"/>
          <w:szCs w:val="22"/>
        </w:rPr>
        <w:t>***</w:t>
      </w:r>
    </w:p>
    <w:p w14:paraId="0B079A85" w14:textId="4B68F402" w:rsidR="00D06FE1" w:rsidRPr="008A6499" w:rsidRDefault="00D06FE1" w:rsidP="00D06FE1">
      <w:pPr>
        <w:jc w:val="both"/>
        <w:rPr>
          <w:rFonts w:asciiTheme="minorHAnsi" w:hAnsiTheme="minorHAnsi" w:cstheme="minorHAnsi"/>
          <w:sz w:val="18"/>
          <w:szCs w:val="18"/>
        </w:rPr>
      </w:pPr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>EFL S</w:t>
      </w:r>
      <w:r w:rsidR="00035CBE">
        <w:rPr>
          <w:rFonts w:asciiTheme="minorHAnsi" w:hAnsiTheme="minorHAnsi" w:cstheme="minorHAnsi"/>
          <w:b/>
          <w:bCs/>
          <w:color w:val="1C867C"/>
          <w:sz w:val="18"/>
          <w:szCs w:val="18"/>
        </w:rPr>
        <w:t>.</w:t>
      </w:r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>A</w:t>
      </w:r>
      <w:r w:rsidR="00035CBE">
        <w:rPr>
          <w:rFonts w:asciiTheme="minorHAnsi" w:hAnsiTheme="minorHAnsi" w:cstheme="minorHAnsi"/>
          <w:b/>
          <w:bCs/>
          <w:color w:val="1C867C"/>
          <w:sz w:val="18"/>
          <w:szCs w:val="18"/>
        </w:rPr>
        <w:t>.</w:t>
      </w:r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 xml:space="preserve"> </w:t>
      </w:r>
      <w:r w:rsidRPr="008A6499">
        <w:rPr>
          <w:rFonts w:asciiTheme="minorHAnsi" w:hAnsiTheme="minorHAnsi" w:cstheme="minorHAnsi"/>
          <w:sz w:val="18"/>
          <w:szCs w:val="18"/>
        </w:rPr>
        <w:t xml:space="preserve"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 W skład Grupy EFL wchodzą spółka flotowa Carefleet, spółka faktoringowa Eurofactor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 oraz TUCK CARE, która oferuje  kompleksowy wynajem pojazdów użytkowych stworzony z myślą o biznesie transportowym. W ramach Grupy EFL s</w:t>
      </w:r>
      <w:r w:rsidRPr="008A6499">
        <w:rPr>
          <w:rFonts w:asciiTheme="minorHAnsi" w:hAnsiTheme="minorHAnsi" w:cstheme="minorHAnsi"/>
          <w:sz w:val="18"/>
          <w:szCs w:val="18"/>
        </w:rPr>
        <w:t xml:space="preserve">półka oferuje szeroki pakiet produktów: leasing, pożyczkę,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usługi flotowe, </w:t>
      </w:r>
      <w:r w:rsidRPr="008A6499">
        <w:rPr>
          <w:rFonts w:asciiTheme="minorHAnsi" w:hAnsiTheme="minorHAnsi" w:cstheme="minorHAnsi"/>
          <w:sz w:val="18"/>
          <w:szCs w:val="18"/>
        </w:rPr>
        <w:t xml:space="preserve">wynajem długoterminowy, ubezpieczenia i faktoring. Od 1991 roku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EFL </w:t>
      </w:r>
      <w:r w:rsidRPr="008A6499">
        <w:rPr>
          <w:rFonts w:asciiTheme="minorHAnsi" w:hAnsiTheme="minorHAnsi" w:cstheme="minorHAnsi"/>
          <w:sz w:val="18"/>
          <w:szCs w:val="18"/>
        </w:rPr>
        <w:t xml:space="preserve">współpracuje z najbardziej liczącymi się producentami i dostawcami maszyn, urządzeń, pojazdów oraz innych środków trwałych. Firmę wyróżniono m.in.  </w:t>
      </w:r>
      <w:r w:rsidRPr="008A6499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Business Superbrands 2021, 2022 </w:t>
      </w:r>
      <w:r w:rsidRPr="008A6499">
        <w:rPr>
          <w:rFonts w:asciiTheme="minorHAnsi" w:hAnsiTheme="minorHAnsi" w:cstheme="minorHAnsi"/>
          <w:sz w:val="18"/>
          <w:szCs w:val="18"/>
        </w:rPr>
        <w:t xml:space="preserve">sześciokrotnie tytułem: Firmy Przyjaznej Klientowi i siedmiokrotnie Finansowej Marki Roku. Już ponad 365 tysięcy klientów wybrało EFL na swojego partnera w biznesie. Więcej na: </w:t>
      </w:r>
      <w:hyperlink r:id="rId8" w:history="1">
        <w:r w:rsidRPr="008A6499">
          <w:rPr>
            <w:rStyle w:val="Hipercze"/>
            <w:rFonts w:asciiTheme="minorHAnsi" w:hAnsiTheme="minorHAnsi" w:cstheme="minorHAnsi"/>
            <w:sz w:val="18"/>
            <w:szCs w:val="18"/>
          </w:rPr>
          <w:t>www.efl.pl</w:t>
        </w:r>
      </w:hyperlink>
    </w:p>
    <w:p w14:paraId="1905F936" w14:textId="77777777" w:rsidR="00D06FE1" w:rsidRPr="00442CB3" w:rsidRDefault="00D06FE1" w:rsidP="005D198C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3102D7A3" w14:textId="77777777" w:rsidR="005D198C" w:rsidRPr="007018BA" w:rsidRDefault="005D198C" w:rsidP="005D198C">
      <w:pPr>
        <w:rPr>
          <w:rFonts w:asciiTheme="minorHAnsi" w:hAnsiTheme="minorHAnsi" w:cstheme="minorHAnsi"/>
          <w:sz w:val="22"/>
          <w:szCs w:val="22"/>
        </w:rPr>
      </w:pPr>
    </w:p>
    <w:sectPr w:rsidR="005D198C" w:rsidRPr="007018BA" w:rsidSect="00A61696">
      <w:headerReference w:type="default" r:id="rId9"/>
      <w:footerReference w:type="default" r:id="rId10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05F8" w14:textId="77777777" w:rsidR="00B37888" w:rsidRDefault="00B37888" w:rsidP="00A61696">
      <w:r>
        <w:separator/>
      </w:r>
    </w:p>
  </w:endnote>
  <w:endnote w:type="continuationSeparator" w:id="0">
    <w:p w14:paraId="3584009F" w14:textId="77777777" w:rsidR="00B37888" w:rsidRDefault="00B37888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2080" w14:textId="77777777" w:rsidR="00A61696" w:rsidRDefault="00EA1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68924" wp14:editId="3967FDB3">
          <wp:simplePos x="0" y="0"/>
          <wp:positionH relativeFrom="page">
            <wp:posOffset>20320</wp:posOffset>
          </wp:positionH>
          <wp:positionV relativeFrom="paragraph">
            <wp:posOffset>-462915</wp:posOffset>
          </wp:positionV>
          <wp:extent cx="7507605" cy="106489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4D03" w14:textId="77777777" w:rsidR="00B37888" w:rsidRDefault="00B37888" w:rsidP="00A61696">
      <w:r>
        <w:separator/>
      </w:r>
    </w:p>
  </w:footnote>
  <w:footnote w:type="continuationSeparator" w:id="0">
    <w:p w14:paraId="3FBD63A3" w14:textId="77777777" w:rsidR="00B37888" w:rsidRDefault="00B37888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C27" w14:textId="77777777" w:rsidR="00A61696" w:rsidRDefault="00A6169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6B564" wp14:editId="21D9B5F7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4" cy="121433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4" cy="121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6C63"/>
    <w:multiLevelType w:val="hybridMultilevel"/>
    <w:tmpl w:val="E0F6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029EC"/>
    <w:rsid w:val="000043CA"/>
    <w:rsid w:val="00005AAF"/>
    <w:rsid w:val="00005BA9"/>
    <w:rsid w:val="00035CBE"/>
    <w:rsid w:val="000421F7"/>
    <w:rsid w:val="00054E4F"/>
    <w:rsid w:val="00073E6D"/>
    <w:rsid w:val="000747EE"/>
    <w:rsid w:val="00077BA6"/>
    <w:rsid w:val="000C497E"/>
    <w:rsid w:val="000C75E8"/>
    <w:rsid w:val="00104CED"/>
    <w:rsid w:val="00132174"/>
    <w:rsid w:val="00146B39"/>
    <w:rsid w:val="001C0EA6"/>
    <w:rsid w:val="001C217C"/>
    <w:rsid w:val="001D2803"/>
    <w:rsid w:val="00210765"/>
    <w:rsid w:val="00262D1E"/>
    <w:rsid w:val="00282C61"/>
    <w:rsid w:val="00286A86"/>
    <w:rsid w:val="00297E3F"/>
    <w:rsid w:val="002E16CA"/>
    <w:rsid w:val="002F793F"/>
    <w:rsid w:val="003060D6"/>
    <w:rsid w:val="003608BD"/>
    <w:rsid w:val="00365E7C"/>
    <w:rsid w:val="003729FE"/>
    <w:rsid w:val="0038796D"/>
    <w:rsid w:val="00397B28"/>
    <w:rsid w:val="00427B6D"/>
    <w:rsid w:val="00470F48"/>
    <w:rsid w:val="004941F7"/>
    <w:rsid w:val="004C26D6"/>
    <w:rsid w:val="004C6824"/>
    <w:rsid w:val="004C7F74"/>
    <w:rsid w:val="004F7105"/>
    <w:rsid w:val="00500E1E"/>
    <w:rsid w:val="00505244"/>
    <w:rsid w:val="0051510F"/>
    <w:rsid w:val="005400FB"/>
    <w:rsid w:val="005858D9"/>
    <w:rsid w:val="005903BF"/>
    <w:rsid w:val="005B5DC1"/>
    <w:rsid w:val="005D198C"/>
    <w:rsid w:val="005F4060"/>
    <w:rsid w:val="00607046"/>
    <w:rsid w:val="00620072"/>
    <w:rsid w:val="0063483C"/>
    <w:rsid w:val="006516E7"/>
    <w:rsid w:val="00682EAD"/>
    <w:rsid w:val="00694E0E"/>
    <w:rsid w:val="006A006A"/>
    <w:rsid w:val="006B4AE1"/>
    <w:rsid w:val="00717A6C"/>
    <w:rsid w:val="00740947"/>
    <w:rsid w:val="007451A7"/>
    <w:rsid w:val="00780F7A"/>
    <w:rsid w:val="00786BBD"/>
    <w:rsid w:val="007C153E"/>
    <w:rsid w:val="007F0927"/>
    <w:rsid w:val="007F3AF5"/>
    <w:rsid w:val="00806705"/>
    <w:rsid w:val="0083662C"/>
    <w:rsid w:val="0083698C"/>
    <w:rsid w:val="0087045A"/>
    <w:rsid w:val="008A1663"/>
    <w:rsid w:val="008A4B3F"/>
    <w:rsid w:val="008A6499"/>
    <w:rsid w:val="008B716F"/>
    <w:rsid w:val="008F4640"/>
    <w:rsid w:val="008F466A"/>
    <w:rsid w:val="008F4D88"/>
    <w:rsid w:val="00900623"/>
    <w:rsid w:val="0092315C"/>
    <w:rsid w:val="009408DB"/>
    <w:rsid w:val="00974A9D"/>
    <w:rsid w:val="00992F26"/>
    <w:rsid w:val="00996314"/>
    <w:rsid w:val="009A3AC5"/>
    <w:rsid w:val="009B273E"/>
    <w:rsid w:val="009C3FD0"/>
    <w:rsid w:val="009D3C31"/>
    <w:rsid w:val="009E02AA"/>
    <w:rsid w:val="00A145A9"/>
    <w:rsid w:val="00A441D1"/>
    <w:rsid w:val="00A61696"/>
    <w:rsid w:val="00A71D49"/>
    <w:rsid w:val="00AB5CA4"/>
    <w:rsid w:val="00AD4057"/>
    <w:rsid w:val="00B15271"/>
    <w:rsid w:val="00B25AEB"/>
    <w:rsid w:val="00B37888"/>
    <w:rsid w:val="00B62F34"/>
    <w:rsid w:val="00BB2A38"/>
    <w:rsid w:val="00BC0C08"/>
    <w:rsid w:val="00BE2AC1"/>
    <w:rsid w:val="00BF0C77"/>
    <w:rsid w:val="00BF283E"/>
    <w:rsid w:val="00C17310"/>
    <w:rsid w:val="00C41287"/>
    <w:rsid w:val="00C417BB"/>
    <w:rsid w:val="00C52E60"/>
    <w:rsid w:val="00C53F8E"/>
    <w:rsid w:val="00C6339D"/>
    <w:rsid w:val="00C71343"/>
    <w:rsid w:val="00C77D3D"/>
    <w:rsid w:val="00CB67E3"/>
    <w:rsid w:val="00CE4648"/>
    <w:rsid w:val="00CF48B7"/>
    <w:rsid w:val="00D06FE1"/>
    <w:rsid w:val="00D16089"/>
    <w:rsid w:val="00D36C39"/>
    <w:rsid w:val="00D4410E"/>
    <w:rsid w:val="00D62EA8"/>
    <w:rsid w:val="00D77BE7"/>
    <w:rsid w:val="00D84CD8"/>
    <w:rsid w:val="00D92F8B"/>
    <w:rsid w:val="00DB4719"/>
    <w:rsid w:val="00DD0975"/>
    <w:rsid w:val="00E228FB"/>
    <w:rsid w:val="00E30ED2"/>
    <w:rsid w:val="00E47950"/>
    <w:rsid w:val="00E91812"/>
    <w:rsid w:val="00EA11E6"/>
    <w:rsid w:val="00EC3C27"/>
    <w:rsid w:val="00EE2378"/>
    <w:rsid w:val="00EF34D3"/>
    <w:rsid w:val="00F030E9"/>
    <w:rsid w:val="00F366EE"/>
    <w:rsid w:val="00F4652B"/>
    <w:rsid w:val="00F5119E"/>
    <w:rsid w:val="00F5311C"/>
    <w:rsid w:val="00F66F95"/>
    <w:rsid w:val="00F85960"/>
    <w:rsid w:val="00FC48FD"/>
    <w:rsid w:val="00FC7484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CA75"/>
  <w15:docId w15:val="{69189CB4-413E-48DD-AA1B-69F3FCF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character" w:styleId="Odwoaniedokomentarza">
    <w:name w:val="annotation reference"/>
    <w:basedOn w:val="Domylnaczcionkaakapitu"/>
    <w:uiPriority w:val="99"/>
    <w:semiHidden/>
    <w:unhideWhenUsed/>
    <w:rsid w:val="009D3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C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06FE1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06FE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6F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06FE1"/>
  </w:style>
  <w:style w:type="paragraph" w:styleId="Bezodstpw">
    <w:name w:val="No Spacing"/>
    <w:uiPriority w:val="1"/>
    <w:qFormat/>
    <w:rsid w:val="00146B39"/>
    <w:pPr>
      <w:spacing w:after="0" w:line="240" w:lineRule="auto"/>
    </w:pPr>
  </w:style>
  <w:style w:type="paragraph" w:customStyle="1" w:styleId="Default">
    <w:name w:val="Default"/>
    <w:rsid w:val="00146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re">
    <w:name w:val="Treść"/>
    <w:basedOn w:val="Normalny"/>
    <w:rsid w:val="00146B39"/>
    <w:rPr>
      <w:rFonts w:ascii="Helvetica Neue" w:eastAsiaTheme="minorHAnsi" w:hAnsi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83698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C48F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2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2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119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0">
    <w:name w:val="default"/>
    <w:basedOn w:val="Normalny"/>
    <w:rsid w:val="00C6339D"/>
    <w:pPr>
      <w:spacing w:before="100" w:beforeAutospacing="1" w:after="100" w:afterAutospacing="1"/>
    </w:pPr>
    <w:rPr>
      <w:rFonts w:eastAsiaTheme="minorHAnsi"/>
    </w:rPr>
  </w:style>
  <w:style w:type="character" w:customStyle="1" w:styleId="font">
    <w:name w:val="font"/>
    <w:basedOn w:val="Domylnaczcionkaakapitu"/>
    <w:rsid w:val="00C6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6C8A-611D-480C-8C5B-923FE797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Kaminski</dc:creator>
  <cp:lastModifiedBy>Maja Lidke</cp:lastModifiedBy>
  <cp:revision>5</cp:revision>
  <dcterms:created xsi:type="dcterms:W3CDTF">2023-04-25T12:26:00Z</dcterms:created>
  <dcterms:modified xsi:type="dcterms:W3CDTF">2023-05-10T06:21:00Z</dcterms:modified>
</cp:coreProperties>
</file>