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7846FFE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2F1C54">
        <w:rPr>
          <w:rFonts w:ascii="Tahoma" w:eastAsia="Tahoma" w:hAnsi="Tahoma" w:cs="Tahoma"/>
          <w:color w:val="808080"/>
          <w:sz w:val="20"/>
          <w:szCs w:val="20"/>
        </w:rPr>
        <w:t>1</w:t>
      </w:r>
      <w:r w:rsidR="00164307">
        <w:rPr>
          <w:rFonts w:ascii="Tahoma" w:eastAsia="Tahoma" w:hAnsi="Tahoma" w:cs="Tahoma"/>
          <w:color w:val="808080"/>
          <w:sz w:val="20"/>
          <w:szCs w:val="20"/>
        </w:rPr>
        <w:t>5</w:t>
      </w:r>
      <w:r w:rsidR="00946E7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FB568A">
        <w:rPr>
          <w:rFonts w:ascii="Tahoma" w:eastAsia="Tahoma" w:hAnsi="Tahoma" w:cs="Tahoma"/>
          <w:color w:val="808080"/>
          <w:sz w:val="20"/>
          <w:szCs w:val="20"/>
        </w:rPr>
        <w:t>maja</w:t>
      </w:r>
      <w:r w:rsidR="00C55F9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350AE8B3" w:rsidR="003B1DAE" w:rsidRDefault="009967C2" w:rsidP="0051656F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FB568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CSR #</w:t>
            </w:r>
            <w:r w:rsidR="0065689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Zwolnieni z Teorii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</w:p>
          <w:p w14:paraId="6FC5B2C6" w14:textId="0E6858C2" w:rsidR="00DF5B30" w:rsidRDefault="0071471C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na Wielkim F</w:t>
            </w:r>
            <w:r w:rsidR="0065689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inale</w:t>
            </w:r>
            <w:r w:rsidR="0065689F" w:rsidRPr="0065689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Zwolnionych z Teorii </w:t>
            </w:r>
          </w:p>
          <w:p w14:paraId="5421C3A5" w14:textId="77777777" w:rsidR="00DF5B30" w:rsidRDefault="00DF5B30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</w:p>
          <w:p w14:paraId="06159F59" w14:textId="16E75005" w:rsidR="00203511" w:rsidRPr="00963A47" w:rsidRDefault="00963A47" w:rsidP="002035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</w:pPr>
            <w:r w:rsidRPr="00963A47"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 xml:space="preserve">Razem z Fundacją Zwolnieni z Teorii </w:t>
            </w:r>
            <w:r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>Budimex odwiedził</w:t>
            </w:r>
            <w:r w:rsidRPr="00963A47"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br/>
            </w:r>
            <w:r w:rsidRPr="00963A47"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>w ubiegłym roku 127 techników stacjonarnie i 70 zdalnie.</w:t>
            </w:r>
          </w:p>
          <w:p w14:paraId="4C122438" w14:textId="4A5AB4AF" w:rsidR="00963A47" w:rsidRDefault="004014E1" w:rsidP="004014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</w:t>
            </w:r>
            <w:r w:rsidRPr="004014E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spotkaniach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realizowanych w ramach programu wzięło udział </w:t>
            </w:r>
            <w:r w:rsidRPr="004014E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blisko 12 tysięcy uczniów.</w:t>
            </w:r>
          </w:p>
          <w:p w14:paraId="60D3B80A" w14:textId="263838EB" w:rsidR="004014E1" w:rsidRPr="004014E1" w:rsidRDefault="004014E1" w:rsidP="004014E1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963A47"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 xml:space="preserve">34 zespoły </w:t>
            </w:r>
            <w:r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>opracowały</w:t>
            </w:r>
            <w:r w:rsidRPr="00963A47"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 xml:space="preserve"> programy CSR-owe mogąc liczyć </w:t>
            </w:r>
            <w:r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br/>
            </w:r>
            <w:r w:rsidRPr="00963A47"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>na wsparcie merytoryczne</w:t>
            </w:r>
            <w:r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 xml:space="preserve"> </w:t>
            </w:r>
            <w:r w:rsidR="00DF5B30"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  <w:t>ekspertów  z Budimeksu.</w:t>
            </w:r>
          </w:p>
          <w:p w14:paraId="40A720C9" w14:textId="77777777" w:rsidR="0065689F" w:rsidRPr="00DE3C90" w:rsidRDefault="0065689F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20F4C28" w14:textId="5EF96659" w:rsidR="0051656F" w:rsidRDefault="00121A51" w:rsidP="0051656F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„Praktyka, która z Tobą </w:t>
            </w:r>
            <w:r w:rsidR="00F2090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zostanie” to autorska inicjatywa Budimeksu, powstała</w:t>
            </w:r>
            <w:r w:rsidR="00203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we</w:t>
            </w:r>
            <w:r w:rsidR="00203511" w:rsidRPr="00203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współprac</w:t>
            </w:r>
            <w:r w:rsidR="00203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y z Fundacją Zwolnieni z Teorii. W 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ramach </w:t>
            </w:r>
            <w:r w:rsidR="00203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działań związanych z </w:t>
            </w:r>
            <w:r w:rsidR="00203511" w:rsidRPr="00307E7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programem</w:t>
            </w:r>
            <w:r w:rsidR="00203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uczniowie techników budowlanych</w:t>
            </w:r>
            <w:r w:rsidR="00096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 całej Polski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opracowali projekty CSR przy wsparciu pracowników</w:t>
            </w:r>
            <w:r w:rsidR="00F2090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lidera polskiej branży budowlanej</w:t>
            </w:r>
            <w:r w:rsidR="00963A4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Podczas Wielkiego Finału, </w:t>
            </w:r>
            <w:r w:rsidR="00F364B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który odbył się na warszawskim Służewcu</w:t>
            </w:r>
            <w:r w:rsidR="004344E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eksperci m.in. z ramienia</w:t>
            </w:r>
            <w:r w:rsidR="00F364B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203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generaln</w:t>
            </w:r>
            <w:r w:rsidR="004344E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ego</w:t>
            </w:r>
            <w:r w:rsidR="00203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wykonawc</w:t>
            </w:r>
            <w:r w:rsidR="004344E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y</w:t>
            </w:r>
            <w:r w:rsidR="00096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nagrodzi</w:t>
            </w:r>
            <w:r w:rsidR="004344E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li</w:t>
            </w:r>
            <w:r w:rsidR="00096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najlepsze</w:t>
            </w:r>
            <w:r w:rsidR="00F2090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przedsięwzięcia</w:t>
            </w:r>
            <w:r w:rsidR="0009651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</w:p>
          <w:p w14:paraId="796F19A0" w14:textId="7999B8C6" w:rsidR="00F20904" w:rsidRDefault="00F20904" w:rsidP="002D42C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66A53A2D" w14:textId="6220FD2E" w:rsidR="00FB568A" w:rsidRDefault="0065689F" w:rsidP="002D42C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Budimex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ramach współpracy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 Fundacją Zwolnieni z Teorii odbył trasę po szkołach w całym kraju</w:t>
            </w:r>
            <w:r w:rsidR="002D42C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2D42C1" w:rsidRPr="002D42C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odwiedz</w:t>
            </w:r>
            <w:r w:rsidR="002D42C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ającym tym samym uczniów ze</w:t>
            </w:r>
            <w:r w:rsidR="002D42C1" w:rsidRPr="002D42C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127 techników stacjonarnie i 70 zdalnie‎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Dzięki </w:t>
            </w:r>
            <w:r w:rsidR="00096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trwającej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od 2022</w:t>
            </w:r>
            <w:r w:rsidR="00096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roku akcji</w:t>
            </w:r>
            <w:r w:rsidR="0071471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aż 34 zespoły przystą</w:t>
            </w:r>
            <w:r w:rsidR="0071471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iły do prac nad projektami CSR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 U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czniowie</w:t>
            </w:r>
            <w:r w:rsidR="00096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biorący udział w 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przedsięwzięciu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1471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mogli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liczyć na wsparcie merytoryczne ze strony </w:t>
            </w:r>
            <w:r w:rsidR="0034472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pracowników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Budimeksu.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Specjaliści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1471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na bieżąco odpowiadali</w:t>
            </w:r>
            <w:r w:rsidR="00203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 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pytania młodzieży poprzez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dedykowany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kanał komunikacyjny, 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 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styczniu została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również 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zorganizowana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sesja Q&amp;A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19526AA9" w14:textId="77777777" w:rsidR="0034472F" w:rsidRDefault="0034472F" w:rsidP="0051656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091F3B08" w14:textId="6D074B60" w:rsidR="00FB568A" w:rsidRDefault="0034472F" w:rsidP="0051656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ocenie projektów wzięło udział czterech ekspertów Budimex SA obecnych na Wielkim Finale programu</w:t>
            </w:r>
            <w:r w:rsidR="00D3706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w tym m.in.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Anna Karyś – Sosińska, </w:t>
            </w:r>
            <w:r w:rsidRPr="0034472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Członek Zarządu, Dyrektor Pion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 Zarządzania Zasobami Ludzkimi</w:t>
            </w:r>
            <w:r w:rsidR="00D3706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="00F13C6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- Firma </w:t>
            </w:r>
            <w:r w:rsidR="00FB568A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Budimex od lat angażuje się we wsparcie edukacji polskiej młodzieży. Razem z Fundacją Zwolnieni z Teorii </w:t>
            </w:r>
            <w:r w:rsidR="008D600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d</w:t>
            </w:r>
            <w:r w:rsidR="00FB568A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otarliśmy do ponad 12 tysięcy uczniów, którym przybliżaliśmy </w:t>
            </w:r>
            <w:r w:rsidR="008D600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naszą firmę</w:t>
            </w:r>
            <w:r w:rsidR="008D6008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FB568A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i budownictwo poprzez wykłady z przedstawicielami naszego biznesu i prowadząc różnego rodzaju webinary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– mówi Anna Karyś-Sosińska.</w:t>
            </w:r>
          </w:p>
          <w:p w14:paraId="5E7BC929" w14:textId="77777777" w:rsidR="00FB568A" w:rsidRDefault="00FB568A" w:rsidP="0051656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DE1024F" w14:textId="13C70156" w:rsidR="00FB568A" w:rsidRDefault="00203511" w:rsidP="0020351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203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Wybór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zwycięzców</w:t>
            </w:r>
            <w:r w:rsidRPr="00203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nie był łatwy, a poziom zaangażowania,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pomysłowość i chęć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 xml:space="preserve">pomocy młodych osób </w:t>
            </w:r>
            <w:r w:rsidRPr="00203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robiły ogromne wrażenie.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Prace były oceniane w oparciu o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kilka kryteriów -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wśród nich znalazły się oryginalność i innowacyjność, zrozumienie potrzeb lokalnej społeczności, strategiczne podejście do problemu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oraz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promocja w</w:t>
            </w:r>
            <w:r w:rsidR="00C2275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 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kanałach social media.</w:t>
            </w:r>
            <w:r w:rsidR="00096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– </w:t>
            </w:r>
            <w:r w:rsidR="00096511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Spośród </w:t>
            </w:r>
            <w:r w:rsidR="00FB568A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wszystkich projektó</w:t>
            </w:r>
            <w:r w:rsidR="00946E7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w wybraliśmy trzy, które zyskały </w:t>
            </w:r>
            <w:r w:rsidR="00FB568A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nasze największe uznanie. </w:t>
            </w:r>
            <w:r w:rsidR="008D600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W</w:t>
            </w:r>
            <w:r w:rsidR="00FB568A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ramach docenienia tych zespołów </w:t>
            </w:r>
            <w:r w:rsidR="008D600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postanowiliśmy </w:t>
            </w:r>
            <w:r w:rsidR="00FB568A" w:rsidRPr="00FB56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ufundować trzy nagrody. Nagrodą główną będzie remont wybranej sali technikum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– dodaje Anna Karyś-Sosińska.</w:t>
            </w:r>
          </w:p>
          <w:p w14:paraId="4C22776D" w14:textId="77777777" w:rsidR="00FB568A" w:rsidRPr="00FB568A" w:rsidRDefault="00FB568A" w:rsidP="0051656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6BB5C0BD" w14:textId="31C92D02" w:rsidR="00FB568A" w:rsidRDefault="00FB568A" w:rsidP="0051656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Oprócz odremontowania wybranej klasy lekcyjnej dla zwycięzców</w:t>
            </w:r>
            <w:r w:rsidR="00963A4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09651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Budimex ufundował dla </w:t>
            </w:r>
            <w:r w:rsidR="0065689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dwóch pozostałych zespołów </w:t>
            </w:r>
            <w:r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wyposażenie sal w niezbędne sprzęty. </w:t>
            </w:r>
            <w:r w:rsidR="00DF5B3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Aby</w:t>
            </w:r>
            <w:r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docenić indywidualne zaangażowanie każdej z osób</w:t>
            </w:r>
            <w:r w:rsidR="0065689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</w:t>
            </w:r>
            <w:r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generalny wykonawca przyznał też nagrody rzeczowe.</w:t>
            </w:r>
          </w:p>
          <w:p w14:paraId="04555EF2" w14:textId="77777777" w:rsidR="00FB568A" w:rsidRDefault="00FB568A" w:rsidP="0051656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15A2AE4" w14:textId="11EF34E7" w:rsidR="00FB568A" w:rsidRPr="00FB568A" w:rsidRDefault="00096511" w:rsidP="00FB568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  <w:u w:val="single"/>
              </w:rPr>
              <w:t>Zwycięskie projekty</w:t>
            </w:r>
            <w:r w:rsidR="00FB568A" w:rsidRPr="00FB56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  <w:u w:val="single"/>
              </w:rPr>
              <w:t>:</w:t>
            </w:r>
          </w:p>
          <w:p w14:paraId="2336907C" w14:textId="33A7B341" w:rsidR="00FB568A" w:rsidRDefault="00FB568A" w:rsidP="00FB568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FB56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3 miejsce i n</w:t>
            </w:r>
            <w:r w:rsidR="00F13C6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agrodę w wysokości 10 000 zł dostał</w:t>
            </w:r>
            <w:r w:rsidRPr="00FB56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projekt ER English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</w:p>
          <w:p w14:paraId="1B2C3B0E" w14:textId="7815AD30" w:rsidR="00FB568A" w:rsidRPr="00FB568A" w:rsidRDefault="00FB568A" w:rsidP="00FB568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przedsięwzięciu wzięło udział 29</w:t>
            </w:r>
            <w:r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wolontariuszy,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którzy prowadzili</w:t>
            </w:r>
            <w:r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zajęcia z języka angielskiego w placówkach społecznych na terenie Głogowa. </w:t>
            </w:r>
            <w:r w:rsidR="004C72D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 możliwości nauki tego języka skorzystało</w:t>
            </w:r>
            <w:r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ponad </w:t>
            </w:r>
            <w:r w:rsidR="004C72D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800 osób!</w:t>
            </w:r>
          </w:p>
          <w:p w14:paraId="778D3F2D" w14:textId="77777777" w:rsidR="004C72DC" w:rsidRDefault="00FB568A" w:rsidP="00FB568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FB56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2</w:t>
            </w:r>
            <w:r w:rsidR="004C72D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miejsce</w:t>
            </w:r>
            <w:r w:rsidRPr="00FB56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 nagrodę 15 000 zdobył projekt rozwojowy Pewne Wybory</w:t>
            </w:r>
            <w:r w:rsidR="004C72D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</w:p>
          <w:p w14:paraId="0AE253D8" w14:textId="136FDE92" w:rsidR="00FB568A" w:rsidRPr="00FB568A" w:rsidRDefault="004C72DC" w:rsidP="00FB568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Celem tej inicjatywy była pomoc 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uczniom szkół podstawowych w wyborze odpowiedniej szkoły średniej i związanej z tym przyszłej kariery zawodowej. Grupa uczniów z Bielska-Białej przeprowadziła związane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 tym prelekcje dla ponad 1000 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ósmoklasistów, a także stworzyła dedykowaną stronę www, na której można znaleźć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wiele przydatnych informacji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potrzebnych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przy wyborze szkoły.</w:t>
            </w:r>
            <w:r w:rsidR="00946E7A">
              <w:t xml:space="preserve"> 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Witrynę</w:t>
            </w:r>
            <w:r w:rsidR="00946E7A" w:rsidRP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‎odwiedziło ponad 2000 osób</w:t>
            </w:r>
            <w:r w:rsidR="00946E7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6EF37885" w14:textId="77777777" w:rsidR="004C72DC" w:rsidRDefault="00FB568A" w:rsidP="00FB568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FB56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Nagrodę główną</w:t>
            </w:r>
            <w:r w:rsidR="004C72D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czyli</w:t>
            </w:r>
            <w:r w:rsidRPr="00FB56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50 000 na remont sali otrzymał projekt UBR-y</w:t>
            </w:r>
            <w:r w:rsidR="004C72D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27B72B16" w14:textId="50F40AEC" w:rsidR="00FB568A" w:rsidRPr="00FB568A" w:rsidRDefault="004C72DC" w:rsidP="00FB568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Przedsięwzięcie 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udowodnił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że poprzez działania budowlane moż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na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realizować świetne inicjatywy społeczne. Grupa uczniów z technikum w Bełchatowie zdecydowała się wykorzystać nabyte w </w:t>
            </w:r>
            <w:r w:rsidR="00F13C6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szkole umiejętności budowlane i 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przeprowadziła remont mieszkania dla rodziny z Ukrainy. Wszystkie prace zostały wykonane przez uczniów samodzielnie, począwszy od pozyskania s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ponsorów, zakup materiałów, na </w:t>
            </w:r>
            <w:r w:rsidR="00FB568A" w:rsidRPr="00FB568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wykonaniu prac remontowych kończąc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</w:p>
          <w:p w14:paraId="7FB6D0E9" w14:textId="1C8DDCB1" w:rsidR="002A5520" w:rsidRPr="002A5520" w:rsidRDefault="002A5520" w:rsidP="0051656F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2A552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Wyróżnienie i nagrody rzeczowe otrzymali autorzy projektu Akceptuj siebie! </w:t>
            </w:r>
          </w:p>
          <w:p w14:paraId="36AFFE2F" w14:textId="14AFCD5A" w:rsidR="00FB568A" w:rsidRPr="002A5520" w:rsidRDefault="0065689F" w:rsidP="0051656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#a</w:t>
            </w:r>
            <w:r w:rsidR="001A6F0D" w:rsidRPr="002A552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kcjaakceptacja ma na celu ukazani</w:t>
            </w:r>
            <w:r w:rsidR="002A552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 problemu braku samoakceptacji i</w:t>
            </w:r>
            <w:r w:rsidR="001A6F0D" w:rsidRPr="002A552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pewności siebie, depresji, hejtu, z jakim dziś na każdym kroku mierzą się młode osoby. </w:t>
            </w:r>
          </w:p>
          <w:p w14:paraId="5FE97737" w14:textId="77777777" w:rsid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953AC7B" w14:textId="3896D0AA" w:rsidR="00F13C68" w:rsidRDefault="00096511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96511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od dawna wspiera młodych ludzi na ich drodze do kariery.</w:t>
            </w:r>
            <w:r w:rsidR="00F13C68">
              <w:t xml:space="preserve"> </w:t>
            </w:r>
            <w:r w:rsidR="00F13C68" w:rsidRPr="00F13C68">
              <w:rPr>
                <w:rFonts w:ascii="Tahoma" w:eastAsia="Tahoma" w:hAnsi="Tahoma" w:cs="Tahoma"/>
                <w:color w:val="747678"/>
                <w:sz w:val="18"/>
                <w:szCs w:val="18"/>
              </w:rPr>
              <w:t>Dużym sukcesem okazał się Konkurs Budimex Startup Challenge, skierowany do innowacyjnych przedsiębiorstw i młodych spółek technologicznych</w:t>
            </w:r>
            <w:r w:rsidR="0065689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oferujących produkty, usługi i </w:t>
            </w:r>
            <w:r w:rsidR="00F13C68" w:rsidRPr="00F13C68">
              <w:rPr>
                <w:rFonts w:ascii="Tahoma" w:eastAsia="Tahoma" w:hAnsi="Tahoma" w:cs="Tahoma"/>
                <w:color w:val="747678"/>
                <w:sz w:val="18"/>
                <w:szCs w:val="18"/>
              </w:rPr>
              <w:t>rozwiązania w obszarze energetyki, odnawialnych źródeł energii i ekologiczn</w:t>
            </w:r>
            <w:r w:rsidR="0065689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ych </w:t>
            </w:r>
            <w:r w:rsidR="0065689F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technologii w budownictwie. </w:t>
            </w:r>
            <w:r w:rsidR="00F13C68" w:rsidRPr="00F13C68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nawiązał też współpracę z uczniami krakowskiego liceum, którzy zwyciężyli w konkursie Europejskiej Agencji Kosmicznej.</w:t>
            </w:r>
            <w:r w:rsidRPr="0009651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13C6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Ponadto o</w:t>
            </w:r>
            <w:r w:rsidRPr="0009651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 wielu lat trwa program praktyk, dzięki któremu już ponad 1400 osób zdobyło pierwsze doświadczenia zawodowe. </w:t>
            </w:r>
            <w:r w:rsidR="00F13C6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</w:t>
            </w:r>
            <w:r w:rsidR="00F13C68" w:rsidRPr="00F13C6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W tym roku uruchamiamy program stażowy dla uczniów technikum. W dłuższej perspektywie promujemy nasz program praktyk, gdzie studenci myśląc o karierze w budow</w:t>
            </w:r>
            <w:r w:rsidR="0065689F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nictwie mogą do nas dołączyć na </w:t>
            </w:r>
            <w:r w:rsidR="00F13C68" w:rsidRPr="00F13C6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studenckie praktyki. Rekrutujemy praktykantów do działu HR, Biur Handlowych, Biur Technicznych i każdego obszaru związanego z budownictwem. Hasłem naszego programu praktyk jest</w:t>
            </w:r>
            <w:r w:rsidR="00F13C6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„Praktyka jest miarą sukcesu”</w:t>
            </w:r>
            <w:r w:rsidR="00F13C6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mówi </w:t>
            </w:r>
            <w:r w:rsidR="00F13C68" w:rsidRPr="00F13C68">
              <w:rPr>
                <w:rFonts w:ascii="Tahoma" w:eastAsia="Tahoma" w:hAnsi="Tahoma" w:cs="Tahoma"/>
                <w:color w:val="747678"/>
                <w:sz w:val="18"/>
                <w:szCs w:val="18"/>
              </w:rPr>
              <w:t>Jakub Kulesza, Specjalista ds. Budowania Wizerunku Pracodawcy w firmie Budimex.</w:t>
            </w:r>
          </w:p>
          <w:p w14:paraId="15FE574D" w14:textId="77777777" w:rsidR="00F13C68" w:rsidRDefault="00F13C68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72B5B81" w14:textId="77777777" w:rsidR="00096511" w:rsidRPr="00B5622E" w:rsidRDefault="00096511" w:rsidP="00096511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B56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Fundacja Zwolnieni z Teorii</w:t>
            </w:r>
          </w:p>
          <w:p w14:paraId="55625D19" w14:textId="77777777" w:rsidR="00096511" w:rsidRDefault="00096511" w:rsidP="0009651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>Zwolnieni z Teorii powstali w 2013 roku jako u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zupełnienie edukacji szkolnej o </w:t>
            </w:r>
            <w:r w:rsidRPr="00B5622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praktyczne umiejętności. Młodzi ludzie pracując nad swoim projektem społecznym, rozwijają kompetencje takie jak: empatia, poczucie sprawstwa, kreatywność, praca zespołowa, komunikacja czy rozwiązywanie problemów. Dodatkowo od 2019 roku działa platforma nauczycielska, dzięki której nauczyciele Zwolnionych z Teorii mogą wspierać młodzież w procesie projektowym. </w:t>
            </w:r>
            <w:bookmarkStart w:id="0" w:name="_heading=h.e0i1r2bc3d01" w:colFirst="0" w:colLast="0"/>
            <w:bookmarkEnd w:id="0"/>
          </w:p>
          <w:p w14:paraId="399A5DE0" w14:textId="77777777" w:rsidR="00096511" w:rsidRPr="00AD6A2F" w:rsidRDefault="00096511" w:rsidP="00096511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2103363" w14:textId="77777777" w:rsidR="00096511" w:rsidRDefault="00096511" w:rsidP="00096511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DC5BB1C" w14:textId="36CFD13D" w:rsidR="00617FB9" w:rsidRPr="00734D0A" w:rsidRDefault="00617FB9" w:rsidP="00EB5D4D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D3706A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D3706A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9B76" w14:textId="77777777" w:rsidR="00CE0C9B" w:rsidRDefault="00CE0C9B">
      <w:pPr>
        <w:spacing w:after="0" w:line="240" w:lineRule="auto"/>
      </w:pPr>
      <w:r>
        <w:separator/>
      </w:r>
    </w:p>
  </w:endnote>
  <w:endnote w:type="continuationSeparator" w:id="0">
    <w:p w14:paraId="12FEC5DA" w14:textId="77777777" w:rsidR="00CE0C9B" w:rsidRDefault="00CE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36C0" w14:textId="77777777" w:rsidR="00CE0C9B" w:rsidRDefault="00CE0C9B">
      <w:pPr>
        <w:spacing w:after="0" w:line="240" w:lineRule="auto"/>
      </w:pPr>
      <w:r>
        <w:separator/>
      </w:r>
    </w:p>
  </w:footnote>
  <w:footnote w:type="continuationSeparator" w:id="0">
    <w:p w14:paraId="2D517A6C" w14:textId="77777777" w:rsidR="00CE0C9B" w:rsidRDefault="00CE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5269869">
    <w:abstractNumId w:val="1"/>
  </w:num>
  <w:num w:numId="2" w16cid:durableId="1386947065">
    <w:abstractNumId w:val="2"/>
  </w:num>
  <w:num w:numId="3" w16cid:durableId="174209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AE"/>
    <w:rsid w:val="00005967"/>
    <w:rsid w:val="000102DB"/>
    <w:rsid w:val="00035098"/>
    <w:rsid w:val="00045270"/>
    <w:rsid w:val="00052D9D"/>
    <w:rsid w:val="0007579D"/>
    <w:rsid w:val="00096511"/>
    <w:rsid w:val="000A7C27"/>
    <w:rsid w:val="00121A51"/>
    <w:rsid w:val="00121E30"/>
    <w:rsid w:val="00125D50"/>
    <w:rsid w:val="0015128F"/>
    <w:rsid w:val="00164307"/>
    <w:rsid w:val="00170C68"/>
    <w:rsid w:val="00172D1D"/>
    <w:rsid w:val="00175234"/>
    <w:rsid w:val="00192890"/>
    <w:rsid w:val="001A6F0D"/>
    <w:rsid w:val="001C6FB2"/>
    <w:rsid w:val="001E2D44"/>
    <w:rsid w:val="001F0F39"/>
    <w:rsid w:val="00203086"/>
    <w:rsid w:val="00203511"/>
    <w:rsid w:val="00226002"/>
    <w:rsid w:val="002342F3"/>
    <w:rsid w:val="00237B08"/>
    <w:rsid w:val="002653BF"/>
    <w:rsid w:val="00271280"/>
    <w:rsid w:val="0027391F"/>
    <w:rsid w:val="00285560"/>
    <w:rsid w:val="002A5520"/>
    <w:rsid w:val="002B0328"/>
    <w:rsid w:val="002D0B3A"/>
    <w:rsid w:val="002D42C1"/>
    <w:rsid w:val="002E37BE"/>
    <w:rsid w:val="002F1C54"/>
    <w:rsid w:val="00307758"/>
    <w:rsid w:val="00307E78"/>
    <w:rsid w:val="00312B4E"/>
    <w:rsid w:val="0034472F"/>
    <w:rsid w:val="00383CC2"/>
    <w:rsid w:val="003A1735"/>
    <w:rsid w:val="003B0035"/>
    <w:rsid w:val="003B1DAE"/>
    <w:rsid w:val="003E3E21"/>
    <w:rsid w:val="003E7FB8"/>
    <w:rsid w:val="003F0564"/>
    <w:rsid w:val="004014E1"/>
    <w:rsid w:val="00425428"/>
    <w:rsid w:val="004344E8"/>
    <w:rsid w:val="00455A44"/>
    <w:rsid w:val="004626F8"/>
    <w:rsid w:val="00463DB1"/>
    <w:rsid w:val="00473F87"/>
    <w:rsid w:val="00482FFC"/>
    <w:rsid w:val="0048734C"/>
    <w:rsid w:val="0049557E"/>
    <w:rsid w:val="004B3484"/>
    <w:rsid w:val="004B36C2"/>
    <w:rsid w:val="004C1912"/>
    <w:rsid w:val="004C6F43"/>
    <w:rsid w:val="004C72DC"/>
    <w:rsid w:val="004D23DB"/>
    <w:rsid w:val="004D2CB9"/>
    <w:rsid w:val="004F1549"/>
    <w:rsid w:val="004F28EB"/>
    <w:rsid w:val="00507152"/>
    <w:rsid w:val="0051656F"/>
    <w:rsid w:val="00580DBC"/>
    <w:rsid w:val="00591F2A"/>
    <w:rsid w:val="005B1E43"/>
    <w:rsid w:val="005B2870"/>
    <w:rsid w:val="005C7B13"/>
    <w:rsid w:val="005E5391"/>
    <w:rsid w:val="0060483B"/>
    <w:rsid w:val="00617FB9"/>
    <w:rsid w:val="00621025"/>
    <w:rsid w:val="0065689F"/>
    <w:rsid w:val="00664B42"/>
    <w:rsid w:val="006774E1"/>
    <w:rsid w:val="006806A0"/>
    <w:rsid w:val="00690D70"/>
    <w:rsid w:val="006B23E5"/>
    <w:rsid w:val="006B73ED"/>
    <w:rsid w:val="0071471C"/>
    <w:rsid w:val="00733A2E"/>
    <w:rsid w:val="00734D0A"/>
    <w:rsid w:val="00753410"/>
    <w:rsid w:val="007619F3"/>
    <w:rsid w:val="00764B40"/>
    <w:rsid w:val="007B1336"/>
    <w:rsid w:val="007F3184"/>
    <w:rsid w:val="007F3CC7"/>
    <w:rsid w:val="007F61D5"/>
    <w:rsid w:val="00800D2C"/>
    <w:rsid w:val="00815A09"/>
    <w:rsid w:val="00821D89"/>
    <w:rsid w:val="00845EC4"/>
    <w:rsid w:val="008717D3"/>
    <w:rsid w:val="008745A4"/>
    <w:rsid w:val="00876DE2"/>
    <w:rsid w:val="00885B0E"/>
    <w:rsid w:val="008D6008"/>
    <w:rsid w:val="00910344"/>
    <w:rsid w:val="00936A76"/>
    <w:rsid w:val="00946E7A"/>
    <w:rsid w:val="00963A47"/>
    <w:rsid w:val="009709D2"/>
    <w:rsid w:val="00994841"/>
    <w:rsid w:val="009967C2"/>
    <w:rsid w:val="009A2909"/>
    <w:rsid w:val="009B1D63"/>
    <w:rsid w:val="009B5B56"/>
    <w:rsid w:val="009D5979"/>
    <w:rsid w:val="00A0022B"/>
    <w:rsid w:val="00A0236D"/>
    <w:rsid w:val="00A51B54"/>
    <w:rsid w:val="00A60D9C"/>
    <w:rsid w:val="00A751EB"/>
    <w:rsid w:val="00A95F3C"/>
    <w:rsid w:val="00AB13B2"/>
    <w:rsid w:val="00AB41A5"/>
    <w:rsid w:val="00AD373B"/>
    <w:rsid w:val="00AD6A2F"/>
    <w:rsid w:val="00AE517C"/>
    <w:rsid w:val="00AF7CB0"/>
    <w:rsid w:val="00B06548"/>
    <w:rsid w:val="00B12F71"/>
    <w:rsid w:val="00B738C4"/>
    <w:rsid w:val="00B81AB7"/>
    <w:rsid w:val="00B96E92"/>
    <w:rsid w:val="00BA7C09"/>
    <w:rsid w:val="00C07FF5"/>
    <w:rsid w:val="00C2275C"/>
    <w:rsid w:val="00C32A10"/>
    <w:rsid w:val="00C353E3"/>
    <w:rsid w:val="00C448E6"/>
    <w:rsid w:val="00C55F94"/>
    <w:rsid w:val="00C712F5"/>
    <w:rsid w:val="00C74D83"/>
    <w:rsid w:val="00C96D98"/>
    <w:rsid w:val="00CA3C4C"/>
    <w:rsid w:val="00CE0C9B"/>
    <w:rsid w:val="00CE5E73"/>
    <w:rsid w:val="00CE7884"/>
    <w:rsid w:val="00D1444E"/>
    <w:rsid w:val="00D25679"/>
    <w:rsid w:val="00D269A5"/>
    <w:rsid w:val="00D3706A"/>
    <w:rsid w:val="00D40B49"/>
    <w:rsid w:val="00D62673"/>
    <w:rsid w:val="00D65E13"/>
    <w:rsid w:val="00D67D0B"/>
    <w:rsid w:val="00D87525"/>
    <w:rsid w:val="00DB27C9"/>
    <w:rsid w:val="00DB7F71"/>
    <w:rsid w:val="00DC033A"/>
    <w:rsid w:val="00DD67EE"/>
    <w:rsid w:val="00DE3C90"/>
    <w:rsid w:val="00DF25E5"/>
    <w:rsid w:val="00DF5B30"/>
    <w:rsid w:val="00E14E3C"/>
    <w:rsid w:val="00E24F1A"/>
    <w:rsid w:val="00E31E81"/>
    <w:rsid w:val="00E43C68"/>
    <w:rsid w:val="00E700BC"/>
    <w:rsid w:val="00E73AA4"/>
    <w:rsid w:val="00EA368D"/>
    <w:rsid w:val="00EA3F97"/>
    <w:rsid w:val="00EB5D4D"/>
    <w:rsid w:val="00ED4BD3"/>
    <w:rsid w:val="00ED5AE6"/>
    <w:rsid w:val="00F1073B"/>
    <w:rsid w:val="00F13C68"/>
    <w:rsid w:val="00F20904"/>
    <w:rsid w:val="00F364BA"/>
    <w:rsid w:val="00F479B6"/>
    <w:rsid w:val="00F70BEA"/>
    <w:rsid w:val="00F86FEE"/>
    <w:rsid w:val="00FB093C"/>
    <w:rsid w:val="00FB12A7"/>
    <w:rsid w:val="00FB568A"/>
    <w:rsid w:val="00FD0180"/>
    <w:rsid w:val="00FD2F0C"/>
    <w:rsid w:val="00FE3639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B7E98"/>
  <w15:docId w15:val="{F9AC4AD1-AB93-4D5B-84C1-D90EC79A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94D69A-E0D9-4A93-A116-B6B5BA8224D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Zyglewska, Diana</cp:lastModifiedBy>
  <cp:revision>31</cp:revision>
  <dcterms:created xsi:type="dcterms:W3CDTF">2023-03-08T09:13:00Z</dcterms:created>
  <dcterms:modified xsi:type="dcterms:W3CDTF">2023-05-12T11:24:00Z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