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A321" w14:textId="63C2854A" w:rsidR="003513D7" w:rsidRPr="00F02BB7" w:rsidRDefault="006A35DC" w:rsidP="00957B29">
      <w:pPr>
        <w:pStyle w:val="Nagwek2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Warszawa, </w:t>
      </w:r>
      <w:r w:rsidR="004E1894">
        <w:rPr>
          <w:rFonts w:asciiTheme="minorHAnsi" w:hAnsiTheme="minorHAnsi" w:cs="Times New Roman"/>
          <w:b w:val="0"/>
          <w:color w:val="auto"/>
          <w:sz w:val="20"/>
          <w:szCs w:val="20"/>
        </w:rPr>
        <w:t>1</w:t>
      </w:r>
      <w:r w:rsidR="005E6BF4">
        <w:rPr>
          <w:rFonts w:asciiTheme="minorHAnsi" w:hAnsiTheme="minorHAnsi" w:cs="Times New Roman"/>
          <w:b w:val="0"/>
          <w:color w:val="auto"/>
          <w:sz w:val="20"/>
          <w:szCs w:val="20"/>
        </w:rPr>
        <w:t>1</w:t>
      </w:r>
      <w:r w:rsidR="004E1894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kwietnia</w:t>
      </w:r>
      <w:r w:rsidR="007A2868"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80082D"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>201</w:t>
      </w:r>
      <w:r w:rsidR="00391828"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>6</w:t>
      </w:r>
      <w:r w:rsidR="0080082D"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273514" w:rsidRPr="00F02BB7">
        <w:rPr>
          <w:rFonts w:asciiTheme="minorHAnsi" w:hAnsiTheme="minorHAnsi" w:cs="Times New Roman"/>
          <w:b w:val="0"/>
          <w:color w:val="auto"/>
          <w:sz w:val="20"/>
          <w:szCs w:val="20"/>
        </w:rPr>
        <w:t>r.</w:t>
      </w:r>
    </w:p>
    <w:p w14:paraId="6A6FF317" w14:textId="7DDC3058" w:rsidR="00281186" w:rsidRDefault="00281186" w:rsidP="00742AA9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Analiza BIK: </w:t>
      </w:r>
      <w:r w:rsidR="00742AA9">
        <w:rPr>
          <w:rFonts w:asciiTheme="minorHAnsi" w:hAnsiTheme="minorHAnsi"/>
          <w:b/>
          <w:color w:val="000000" w:themeColor="text1"/>
          <w:sz w:val="24"/>
          <w:szCs w:val="24"/>
        </w:rPr>
        <w:t>Remont mieszkania to główny cel kredytowy Polaków w 2016 roku</w:t>
      </w:r>
    </w:p>
    <w:p w14:paraId="63CDABD8" w14:textId="16B804B5" w:rsidR="00D51334" w:rsidRDefault="00133716" w:rsidP="00ED45D6">
      <w:pPr>
        <w:pStyle w:val="Nagwek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33716">
        <w:rPr>
          <w:rFonts w:asciiTheme="minorHAnsi" w:hAnsiTheme="minorHAnsi"/>
          <w:b/>
          <w:color w:val="000000" w:themeColor="text1"/>
          <w:sz w:val="22"/>
          <w:szCs w:val="22"/>
        </w:rPr>
        <w:t>Wiosna j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uż za pasem – Polacy zaczynają myśleć </w:t>
      </w:r>
      <w:r w:rsidRPr="00133716">
        <w:rPr>
          <w:rFonts w:asciiTheme="minorHAnsi" w:hAnsiTheme="minorHAnsi"/>
          <w:b/>
          <w:color w:val="000000" w:themeColor="text1"/>
          <w:sz w:val="22"/>
          <w:szCs w:val="22"/>
        </w:rPr>
        <w:t>o porządkach</w:t>
      </w:r>
      <w:r w:rsidR="0097129C">
        <w:rPr>
          <w:rFonts w:asciiTheme="minorHAnsi" w:hAnsiTheme="minorHAnsi"/>
          <w:b/>
          <w:color w:val="000000" w:themeColor="text1"/>
          <w:sz w:val="22"/>
          <w:szCs w:val="22"/>
        </w:rPr>
        <w:t>, modernizacji oraz</w:t>
      </w:r>
      <w:r w:rsidRPr="001337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zmianie wystroju mieszkania lub domu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1337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Jak wynika z badania </w:t>
      </w:r>
      <w:r w:rsidR="0097129C">
        <w:rPr>
          <w:rFonts w:asciiTheme="minorHAnsi" w:hAnsiTheme="minorHAnsi"/>
          <w:b/>
          <w:color w:val="000000" w:themeColor="text1"/>
          <w:sz w:val="22"/>
          <w:szCs w:val="22"/>
        </w:rPr>
        <w:t>przeprowadzonego</w:t>
      </w:r>
      <w:r w:rsidRPr="001337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zlecenie Biura Informacji Kredytowej,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B2505" w:rsidRPr="002811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2016 roku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23%</w:t>
      </w:r>
      <w:r w:rsidR="002F039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mieszkańców naszego kraju</w:t>
      </w:r>
      <w:r w:rsidR="00281186" w:rsidRPr="002811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planuje zaciągnąć kredyt gotówkowy</w:t>
      </w:r>
      <w:r w:rsidR="00742AA9">
        <w:rPr>
          <w:rFonts w:asciiTheme="minorHAnsi" w:hAnsiTheme="minorHAnsi"/>
          <w:b/>
          <w:color w:val="000000" w:themeColor="text1"/>
          <w:sz w:val="22"/>
          <w:szCs w:val="22"/>
        </w:rPr>
        <w:t>, a co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czwarty </w:t>
      </w:r>
      <w:r w:rsidR="002811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przeznaczy </w:t>
      </w:r>
      <w:r w:rsidR="00D51334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pożyczone środki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właśnie </w:t>
      </w:r>
      <w:r w:rsidR="002811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</w:t>
      </w:r>
      <w:r w:rsidR="00742AA9">
        <w:rPr>
          <w:rFonts w:asciiTheme="minorHAnsi" w:hAnsiTheme="minorHAnsi"/>
          <w:b/>
          <w:color w:val="000000" w:themeColor="text1"/>
          <w:sz w:val="22"/>
          <w:szCs w:val="22"/>
        </w:rPr>
        <w:t>wiosenny remont.</w:t>
      </w:r>
      <w:r w:rsidR="002F039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C615F">
        <w:rPr>
          <w:rFonts w:asciiTheme="minorHAnsi" w:hAnsiTheme="minorHAnsi"/>
          <w:b/>
          <w:color w:val="000000" w:themeColor="text1"/>
          <w:sz w:val="22"/>
          <w:szCs w:val="22"/>
        </w:rPr>
        <w:t xml:space="preserve">Okazuje się także, że dla 9% badanych remont i ponoszone w związku z nim koszty to poważny stres. </w:t>
      </w:r>
    </w:p>
    <w:p w14:paraId="64466C49" w14:textId="0F3650E7" w:rsidR="00752F35" w:rsidRDefault="00ED45D6" w:rsidP="00D51334">
      <w:pPr>
        <w:jc w:val="both"/>
      </w:pPr>
      <w:r>
        <w:br/>
      </w:r>
      <w:r w:rsidR="00DA10E8">
        <w:t>Początek kwietnia dla wielu z nas oznacza</w:t>
      </w:r>
      <w:r w:rsidR="00DA10E8" w:rsidRPr="00DA10E8">
        <w:t xml:space="preserve"> </w:t>
      </w:r>
      <w:r w:rsidR="00B05310">
        <w:t>rozpoczęcie sezonu</w:t>
      </w:r>
      <w:r w:rsidR="00DA10E8" w:rsidRPr="00DA10E8">
        <w:t xml:space="preserve"> wio</w:t>
      </w:r>
      <w:r w:rsidR="00DA10E8">
        <w:t>sennych porządków. Nowa aranżacja wnętrz, malowanie ścian czy</w:t>
      </w:r>
      <w:r w:rsidR="00DA10E8" w:rsidRPr="00DA10E8">
        <w:t xml:space="preserve"> wymiana mebli </w:t>
      </w:r>
      <w:r w:rsidR="00742AA9">
        <w:t>i sprzętu kuchennego nadają naszym mieszkaniom</w:t>
      </w:r>
      <w:r w:rsidR="00B74EE5">
        <w:t xml:space="preserve"> świeżości, ale są</w:t>
      </w:r>
      <w:r w:rsidR="00DA10E8">
        <w:t xml:space="preserve"> </w:t>
      </w:r>
      <w:r w:rsidR="00B05310">
        <w:t>zarazem niemałym</w:t>
      </w:r>
      <w:r w:rsidR="00DA10E8">
        <w:t xml:space="preserve"> obciążeniem dla </w:t>
      </w:r>
      <w:r w:rsidR="00B05310">
        <w:t xml:space="preserve">domowego </w:t>
      </w:r>
      <w:r w:rsidR="00DA10E8">
        <w:t xml:space="preserve">budżetu. </w:t>
      </w:r>
      <w:r w:rsidR="00D51334">
        <w:t xml:space="preserve">Prawdopodobnie właśnie </w:t>
      </w:r>
      <w:r w:rsidR="00752F35">
        <w:t xml:space="preserve">z tego względu </w:t>
      </w:r>
      <w:r w:rsidR="00D51334">
        <w:t xml:space="preserve">Polacy decyzję o gruntownym remoncie podejmują </w:t>
      </w:r>
      <w:r w:rsidR="00DB3605">
        <w:t xml:space="preserve">średnio </w:t>
      </w:r>
      <w:r w:rsidR="00B67550">
        <w:t>raz na 5-10 lat</w:t>
      </w:r>
      <w:r w:rsidR="00D51334">
        <w:t xml:space="preserve">. </w:t>
      </w:r>
      <w:r w:rsidR="00B67550">
        <w:t xml:space="preserve">Nieco częściej, bo raz na trzy lata, połowa z nas decyduje się przynajmniej </w:t>
      </w:r>
      <w:r>
        <w:t>na odmalowanie mieszkania*</w:t>
      </w:r>
      <w:r w:rsidR="00B67550">
        <w:t xml:space="preserve">. </w:t>
      </w:r>
    </w:p>
    <w:p w14:paraId="2AE7A282" w14:textId="7B07388E" w:rsidR="00B05310" w:rsidRDefault="003C32BA" w:rsidP="00EC4BF2">
      <w:pPr>
        <w:jc w:val="both"/>
      </w:pPr>
      <w:r>
        <w:t xml:space="preserve">Pierwsze oznaki wiosny mobilizują jednak wielu z nas do nieodkładania decyzji o remoncie. </w:t>
      </w:r>
      <w:r w:rsidR="00EF3300" w:rsidRPr="00EF3300">
        <w:t>Jak wynika z badania</w:t>
      </w:r>
      <w:r w:rsidR="00B74EE5">
        <w:t>**</w:t>
      </w:r>
      <w:r w:rsidR="00EF3300" w:rsidRPr="00EF3300">
        <w:t xml:space="preserve"> zrealizowanego na zlecenie Biura Informacji Kredytowej</w:t>
      </w:r>
      <w:r w:rsidR="00EF3300">
        <w:t xml:space="preserve">, </w:t>
      </w:r>
      <w:r w:rsidR="0058278C" w:rsidRPr="0058278C">
        <w:t xml:space="preserve">aż </w:t>
      </w:r>
      <w:r w:rsidR="00EC4BF2">
        <w:t>24% Polaków kredyt zaciągnięty w ciągu najbliższego roku przeznaczy na odświeżenie</w:t>
      </w:r>
      <w:r w:rsidR="00B74EE5">
        <w:t xml:space="preserve"> mieszkania</w:t>
      </w:r>
      <w:r w:rsidR="00270D5B">
        <w:t xml:space="preserve"> lub </w:t>
      </w:r>
      <w:r w:rsidR="00B05310">
        <w:t xml:space="preserve">drobne prace </w:t>
      </w:r>
      <w:r w:rsidR="00270D5B">
        <w:t>remont</w:t>
      </w:r>
      <w:r w:rsidR="00B05310">
        <w:t xml:space="preserve">owe w </w:t>
      </w:r>
      <w:r w:rsidR="00270D5B">
        <w:t xml:space="preserve">domu. </w:t>
      </w:r>
      <w:r w:rsidR="00B05310">
        <w:t xml:space="preserve">Okazuje się, że </w:t>
      </w:r>
      <w:r w:rsidR="00F86D45">
        <w:t xml:space="preserve">w najbliższym roku Polacy sfinansują </w:t>
      </w:r>
      <w:r w:rsidR="00B05310">
        <w:t xml:space="preserve">remont </w:t>
      </w:r>
      <w:r w:rsidR="00F86D45">
        <w:t>mieszkania</w:t>
      </w:r>
      <w:r w:rsidR="009764B9">
        <w:t xml:space="preserve"> kredytami lub pożyczkami. W</w:t>
      </w:r>
      <w:r w:rsidR="00B05310">
        <w:t xml:space="preserve"> większości </w:t>
      </w:r>
      <w:r w:rsidR="00F86D45">
        <w:t>s</w:t>
      </w:r>
      <w:r w:rsidR="009764B9">
        <w:t xml:space="preserve">korzystają z </w:t>
      </w:r>
      <w:r w:rsidR="00B05310">
        <w:t>bankow</w:t>
      </w:r>
      <w:r w:rsidR="009764B9">
        <w:t>ego</w:t>
      </w:r>
      <w:r w:rsidR="00B05310">
        <w:t xml:space="preserve"> kredyt</w:t>
      </w:r>
      <w:r w:rsidR="009764B9">
        <w:t>u</w:t>
      </w:r>
      <w:r w:rsidR="00B05310">
        <w:t xml:space="preserve"> gotówkow</w:t>
      </w:r>
      <w:r w:rsidR="009764B9">
        <w:t>ego (63%)</w:t>
      </w:r>
      <w:r w:rsidR="00B05310">
        <w:t xml:space="preserve">, w </w:t>
      </w:r>
      <w:r w:rsidR="009764B9">
        <w:t xml:space="preserve">drugiej </w:t>
      </w:r>
      <w:r w:rsidR="00B05310">
        <w:t xml:space="preserve">kolejności </w:t>
      </w:r>
      <w:r w:rsidR="00F86D45">
        <w:t>rozważają</w:t>
      </w:r>
      <w:r w:rsidR="00B05310">
        <w:t xml:space="preserve"> pożyczki gotówkowe (27%), a jedynie 13% osób zamierza sfinansować ten cel </w:t>
      </w:r>
      <w:r w:rsidR="009764B9">
        <w:t xml:space="preserve">za pomocą </w:t>
      </w:r>
      <w:r w:rsidR="00B05310">
        <w:t>kredyt</w:t>
      </w:r>
      <w:r w:rsidR="009764B9">
        <w:t>u mieszkaniowego.</w:t>
      </w:r>
    </w:p>
    <w:p w14:paraId="34DD5554" w14:textId="701519CF" w:rsidR="00007041" w:rsidRDefault="00D46413" w:rsidP="00EC4BF2">
      <w:pPr>
        <w:jc w:val="both"/>
      </w:pPr>
      <w:r>
        <w:t xml:space="preserve">Faktycznie, mały remont można najszybciej sfinansować korzystając z kredytu gotówkowego, jednak </w:t>
      </w:r>
      <w:r>
        <w:t>w</w:t>
      </w:r>
      <w:r w:rsidR="00007041">
        <w:t xml:space="preserve">arto wspomnieć, że jeśli rozważamy zaangażowanie się w poważniejszą modernizację, </w:t>
      </w:r>
      <w:r w:rsidR="00007041" w:rsidRPr="00007041">
        <w:t xml:space="preserve">najrozsądniej jest sfinansować </w:t>
      </w:r>
      <w:r w:rsidR="005E6BF4">
        <w:t>ją</w:t>
      </w:r>
      <w:r w:rsidR="00007041">
        <w:t xml:space="preserve"> za pomocą </w:t>
      </w:r>
      <w:r w:rsidR="00007041" w:rsidRPr="00007041">
        <w:t>kredyt</w:t>
      </w:r>
      <w:r w:rsidR="00007041">
        <w:t xml:space="preserve">u </w:t>
      </w:r>
      <w:r w:rsidR="00007041" w:rsidRPr="00007041">
        <w:t>hipoteczn</w:t>
      </w:r>
      <w:r w:rsidR="00007041">
        <w:t>ego. Jest to wówczas k</w:t>
      </w:r>
      <w:r w:rsidR="00007041" w:rsidRPr="00007041">
        <w:t>redyt zabezpieczony hipotecznie</w:t>
      </w:r>
      <w:r w:rsidR="00007041">
        <w:t>, który choć jest ta</w:t>
      </w:r>
      <w:r w:rsidR="00C21FDB">
        <w:t>ńszy od kredytu gotówkowego</w:t>
      </w:r>
      <w:r w:rsidR="00007041">
        <w:t xml:space="preserve">, to wymaga więcej czasu na złożenie odpowiednich formalności i spełnienia określonych warunków. Być może warto </w:t>
      </w:r>
      <w:r w:rsidR="005E6BF4">
        <w:t>go</w:t>
      </w:r>
      <w:r w:rsidR="00007041">
        <w:t xml:space="preserve"> </w:t>
      </w:r>
      <w:r w:rsidR="005E6BF4">
        <w:t xml:space="preserve">jednak </w:t>
      </w:r>
      <w:r w:rsidR="00007041">
        <w:t xml:space="preserve">rozważyć, gdy myślimy o kwotach rzędu </w:t>
      </w:r>
      <w:r w:rsidR="00007041" w:rsidRPr="00007041">
        <w:t>kilkudziesięciu tysięcy złotych</w:t>
      </w:r>
    </w:p>
    <w:p w14:paraId="2915BCF7" w14:textId="218531C8" w:rsidR="00D66463" w:rsidRDefault="00D66463" w:rsidP="002F039E">
      <w:pPr>
        <w:autoSpaceDE w:val="0"/>
        <w:autoSpaceDN w:val="0"/>
        <w:adjustRightInd w:val="0"/>
        <w:spacing w:after="0"/>
        <w:jc w:val="both"/>
        <w:rPr>
          <w:rFonts w:cs="GloberRegular"/>
        </w:rPr>
      </w:pPr>
      <w:r>
        <w:rPr>
          <w:rFonts w:cs="GloberRegular"/>
        </w:rPr>
        <w:t xml:space="preserve">- </w:t>
      </w:r>
      <w:r w:rsidRPr="00D66463">
        <w:rPr>
          <w:rFonts w:cs="GloberRegular"/>
          <w:i/>
        </w:rPr>
        <w:t>Analizując ubiegły rok kredytowy,</w:t>
      </w:r>
      <w:r w:rsidR="00D65278">
        <w:rPr>
          <w:rFonts w:cs="GloberRegular"/>
          <w:i/>
        </w:rPr>
        <w:t xml:space="preserve"> </w:t>
      </w:r>
      <w:r w:rsidRPr="00D66463">
        <w:rPr>
          <w:rFonts w:cs="GloberRegular"/>
          <w:i/>
        </w:rPr>
        <w:t>BIK</w:t>
      </w:r>
      <w:r w:rsidRPr="00D66463">
        <w:rPr>
          <w:i/>
        </w:rPr>
        <w:t xml:space="preserve"> prognozuje </w:t>
      </w:r>
      <w:r w:rsidRPr="00D66463">
        <w:rPr>
          <w:rFonts w:cs="GloberRegular"/>
          <w:i/>
        </w:rPr>
        <w:t xml:space="preserve">stabilizację wartości udzielanych kredytów konsumpcyjnych oraz umiarkowane wzrosty wartości udzielanych kredytów mieszkaniowych w roku </w:t>
      </w:r>
      <w:r w:rsidRPr="00D66463">
        <w:rPr>
          <w:rFonts w:cs="GloberRegular"/>
          <w:i/>
        </w:rPr>
        <w:t xml:space="preserve">2016. </w:t>
      </w:r>
      <w:r w:rsidR="00C21FDB">
        <w:rPr>
          <w:rFonts w:cs="GloberRegular"/>
          <w:i/>
        </w:rPr>
        <w:t xml:space="preserve">Stabilna </w:t>
      </w:r>
      <w:r w:rsidR="00AB132A">
        <w:rPr>
          <w:rFonts w:cs="GloberRegular"/>
          <w:i/>
        </w:rPr>
        <w:t>pozostaje</w:t>
      </w:r>
      <w:r w:rsidR="00D65278">
        <w:rPr>
          <w:rFonts w:cs="GloberRegular"/>
          <w:i/>
        </w:rPr>
        <w:t xml:space="preserve"> </w:t>
      </w:r>
      <w:r w:rsidRPr="00D66463">
        <w:rPr>
          <w:rFonts w:cs="GloberRegular"/>
          <w:i/>
        </w:rPr>
        <w:t>liczba osób posiadających kredyt</w:t>
      </w:r>
      <w:r w:rsidR="00D66EB7">
        <w:rPr>
          <w:rFonts w:cs="GloberRegular"/>
          <w:i/>
        </w:rPr>
        <w:t>y</w:t>
      </w:r>
      <w:r w:rsidRPr="00D66463">
        <w:rPr>
          <w:rFonts w:cs="GloberRegular"/>
          <w:i/>
        </w:rPr>
        <w:t xml:space="preserve"> w bankach i SKOK-</w:t>
      </w:r>
      <w:r w:rsidRPr="00D66463">
        <w:rPr>
          <w:rFonts w:cs="GloberRegular"/>
          <w:i/>
        </w:rPr>
        <w:t>ach</w:t>
      </w:r>
      <w:r w:rsidR="00D66EB7">
        <w:rPr>
          <w:rFonts w:cs="GloberRegular"/>
          <w:i/>
        </w:rPr>
        <w:t xml:space="preserve">. W </w:t>
      </w:r>
      <w:r w:rsidRPr="00D66463">
        <w:rPr>
          <w:rFonts w:cs="GloberRegular"/>
          <w:i/>
        </w:rPr>
        <w:t xml:space="preserve">2015 r. </w:t>
      </w:r>
      <w:r w:rsidR="00D66EB7">
        <w:rPr>
          <w:rFonts w:cs="GloberRegular"/>
          <w:i/>
        </w:rPr>
        <w:t>było</w:t>
      </w:r>
      <w:r w:rsidRPr="00D66463">
        <w:rPr>
          <w:rFonts w:cs="GloberRegular"/>
          <w:i/>
        </w:rPr>
        <w:t xml:space="preserve"> </w:t>
      </w:r>
      <w:r w:rsidRPr="00D66463">
        <w:rPr>
          <w:rFonts w:cs="GloberRegular"/>
          <w:i/>
        </w:rPr>
        <w:t>15,2 m</w:t>
      </w:r>
      <w:r>
        <w:rPr>
          <w:rFonts w:cs="GloberRegular"/>
          <w:i/>
        </w:rPr>
        <w:t>l</w:t>
      </w:r>
      <w:r w:rsidR="00C21FDB">
        <w:rPr>
          <w:rFonts w:cs="GloberRegular"/>
          <w:i/>
        </w:rPr>
        <w:t>n</w:t>
      </w:r>
      <w:r>
        <w:rPr>
          <w:rFonts w:cs="GloberRegular"/>
          <w:i/>
        </w:rPr>
        <w:t xml:space="preserve"> kredytobiorców </w:t>
      </w:r>
      <w:r w:rsidRPr="00D66463">
        <w:rPr>
          <w:rFonts w:cs="GloberRegular"/>
        </w:rPr>
        <w:t>– mówi Sławomir Grzybek, z Biura Informacji Kredytowej.</w:t>
      </w:r>
      <w:r w:rsidR="009C615F">
        <w:rPr>
          <w:rFonts w:cs="GloberRegular"/>
        </w:rPr>
        <w:t xml:space="preserve"> </w:t>
      </w:r>
      <w:r w:rsidR="00D65278">
        <w:rPr>
          <w:rFonts w:cs="GloberRegular"/>
        </w:rPr>
        <w:t xml:space="preserve">- </w:t>
      </w:r>
      <w:r w:rsidR="00AB132A" w:rsidRPr="00D65278">
        <w:rPr>
          <w:rFonts w:cs="GloberRegular"/>
          <w:i/>
        </w:rPr>
        <w:t>Porównując się do krajów europejskich, to w przypadku kredytów konsumpcyjnych jesteśmy powyżej średniej</w:t>
      </w:r>
      <w:r w:rsidR="00D65278">
        <w:rPr>
          <w:rFonts w:cs="GloberRegular"/>
          <w:i/>
        </w:rPr>
        <w:t>,</w:t>
      </w:r>
      <w:r w:rsidR="00AB132A" w:rsidRPr="00D65278">
        <w:rPr>
          <w:rFonts w:cs="GloberRegular"/>
          <w:i/>
        </w:rPr>
        <w:t xml:space="preserve"> mierząc relację zadłużenia w kredytach konsumpcyjnych do </w:t>
      </w:r>
      <w:r w:rsidR="008C1B10" w:rsidRPr="00D65278">
        <w:rPr>
          <w:rFonts w:cs="GloberRegular"/>
          <w:i/>
        </w:rPr>
        <w:t xml:space="preserve">wartości </w:t>
      </w:r>
      <w:r w:rsidR="00AB132A" w:rsidRPr="00D65278">
        <w:rPr>
          <w:rFonts w:cs="GloberRegular"/>
          <w:i/>
        </w:rPr>
        <w:t>PKB. W przypadku kredytów mieszkaniowych jesteśmy natomiast poniżej średniej europejskiej. Powoduje to, że większy potencjał wzrostu mierzony wskaźnikiem wartości portfela kredytów do poziomu PKB widzimy w szeroko pojętych kredyt</w:t>
      </w:r>
      <w:r w:rsidR="008C1B10" w:rsidRPr="00D65278">
        <w:rPr>
          <w:rFonts w:cs="GloberRegular"/>
          <w:i/>
        </w:rPr>
        <w:t xml:space="preserve">ach </w:t>
      </w:r>
      <w:r w:rsidR="00AB132A" w:rsidRPr="00D65278">
        <w:rPr>
          <w:rFonts w:cs="GloberRegular"/>
          <w:i/>
        </w:rPr>
        <w:t>mieszkaniowych</w:t>
      </w:r>
      <w:r w:rsidR="005E6BF4">
        <w:rPr>
          <w:rFonts w:cs="GloberRegular"/>
          <w:i/>
        </w:rPr>
        <w:t xml:space="preserve"> </w:t>
      </w:r>
      <w:r w:rsidR="005E6BF4">
        <w:rPr>
          <w:rFonts w:cs="GloberRegular"/>
        </w:rPr>
        <w:t xml:space="preserve">- </w:t>
      </w:r>
      <w:r w:rsidR="005E6BF4" w:rsidRPr="005E6BF4">
        <w:rPr>
          <w:rFonts w:cs="GloberRegular"/>
        </w:rPr>
        <w:t>dodaje ekspert BIK.</w:t>
      </w:r>
    </w:p>
    <w:p w14:paraId="7374866A" w14:textId="39BAF43C" w:rsidR="00BF3339" w:rsidRDefault="00F86D45" w:rsidP="00EC4BF2">
      <w:pPr>
        <w:jc w:val="both"/>
      </w:pPr>
      <w:r w:rsidRPr="00F86D45">
        <w:t xml:space="preserve">Mając na uwadze </w:t>
      </w:r>
      <w:r w:rsidR="009C615F">
        <w:t xml:space="preserve">powyższe trendy oraz </w:t>
      </w:r>
      <w:r w:rsidRPr="00F86D45">
        <w:t xml:space="preserve">deklarowaną </w:t>
      </w:r>
      <w:r w:rsidR="009C615F">
        <w:t xml:space="preserve">w badaniu opinii </w:t>
      </w:r>
      <w:r w:rsidRPr="00F86D45">
        <w:t>wysokoś</w:t>
      </w:r>
      <w:r>
        <w:t xml:space="preserve">ć kwoty na pożyczkę lub kredyt </w:t>
      </w:r>
      <w:r w:rsidRPr="00F86D45">
        <w:t xml:space="preserve">wygląda na to, że tegoroczne plany Polaków dotyczą raczej niewielkich remontów </w:t>
      </w:r>
      <w:r w:rsidRPr="00F86D45">
        <w:lastRenderedPageBreak/>
        <w:t xml:space="preserve">pojedynczych pomieszczeń, ewentualnie </w:t>
      </w:r>
      <w:r>
        <w:t xml:space="preserve">malowania lub </w:t>
      </w:r>
      <w:r w:rsidRPr="00F86D45">
        <w:t>wymiany mebli. Deklarowana wysokość zadłużenia mieści się bowiem głównie w granicach 5 – 10 tys. zł (20%) oraz 10 – 15 tys. zł (24%). Jedynie 5% planuje gruntowne zmiany w zakresie wymiany instalacji oraz wystroju wnętrz, o czym świadczą plany kredytowe przekraczające 50 tys. zł</w:t>
      </w:r>
      <w:r w:rsidR="00BF3339">
        <w:t>.</w:t>
      </w:r>
    </w:p>
    <w:p w14:paraId="126C058C" w14:textId="6C12D111" w:rsidR="00BF3339" w:rsidRDefault="00BF3339" w:rsidP="00640A5F">
      <w:pPr>
        <w:jc w:val="both"/>
      </w:pPr>
      <w:r>
        <w:t xml:space="preserve">Można by sądzić, że Polacy dokonują swoich decyzji, a w szczególności dotyczących poprawienia wizerunku swojego domu lub mieszkania, w przemyślany sposób. Tymczasem okazuje się, że wysiłkowi prac remontowych towarzyszy stres z powodu poniesionego wydatku. Około 9% Polaków przyznało, że </w:t>
      </w:r>
      <w:r w:rsidRPr="00BF3339">
        <w:t xml:space="preserve">chętnie odzyskałoby większe kwoty wyłożone na nowe meble czy remont mieszkania. Należałoby </w:t>
      </w:r>
      <w:r>
        <w:t xml:space="preserve">zatem </w:t>
      </w:r>
      <w:r w:rsidR="00640A5F" w:rsidRPr="00BF3339">
        <w:t>wszystko dobrze przemyśleć</w:t>
      </w:r>
      <w:r w:rsidR="00640A5F">
        <w:t xml:space="preserve"> </w:t>
      </w:r>
      <w:r w:rsidRPr="00BF3339">
        <w:t>przed rozpoczynającym się właśnie sezonem remontów domów i mieszkań</w:t>
      </w:r>
      <w:r w:rsidR="00640A5F">
        <w:t xml:space="preserve"> – by mieć poczucie dobrze zagospodarowanych pieniędzy i cieszyć się </w:t>
      </w:r>
      <w:r w:rsidR="00D65278">
        <w:br/>
      </w:r>
      <w:r w:rsidR="00640A5F">
        <w:t xml:space="preserve">z włożonego wysiłku i efektu. </w:t>
      </w:r>
      <w:bookmarkStart w:id="0" w:name="_GoBack"/>
      <w:bookmarkEnd w:id="0"/>
    </w:p>
    <w:p w14:paraId="51EC763E" w14:textId="2A0A436B" w:rsidR="007D7F66" w:rsidRPr="007D7F66" w:rsidRDefault="00752F35" w:rsidP="007D7F66">
      <w:pPr>
        <w:rPr>
          <w:sz w:val="20"/>
          <w:szCs w:val="20"/>
        </w:rPr>
      </w:pPr>
      <w:r w:rsidRPr="007D7F66">
        <w:rPr>
          <w:b/>
          <w:sz w:val="20"/>
          <w:szCs w:val="20"/>
        </w:rPr>
        <w:t>*</w:t>
      </w:r>
      <w:hyperlink r:id="rId9" w:tgtFrame="_blank" w:history="1">
        <w:r w:rsidR="00B67550" w:rsidRPr="007D7F66">
          <w:rPr>
            <w:sz w:val="20"/>
            <w:szCs w:val="20"/>
          </w:rPr>
          <w:t>Wyniki</w:t>
        </w:r>
      </w:hyperlink>
      <w:r w:rsidR="00B67550" w:rsidRPr="007D7F66">
        <w:rPr>
          <w:sz w:val="20"/>
          <w:szCs w:val="20"/>
        </w:rPr>
        <w:t xml:space="preserve"> </w:t>
      </w:r>
      <w:hyperlink r:id="rId10" w:history="1">
        <w:r w:rsidR="00B67550" w:rsidRPr="007D7F66">
          <w:rPr>
            <w:sz w:val="20"/>
            <w:szCs w:val="20"/>
          </w:rPr>
          <w:t>badania</w:t>
        </w:r>
      </w:hyperlink>
      <w:r w:rsidR="00B67550" w:rsidRPr="007D7F66">
        <w:rPr>
          <w:sz w:val="20"/>
          <w:szCs w:val="20"/>
        </w:rPr>
        <w:t xml:space="preserve"> </w:t>
      </w:r>
      <w:r w:rsidRPr="007D7F66">
        <w:rPr>
          <w:sz w:val="20"/>
          <w:szCs w:val="20"/>
        </w:rPr>
        <w:t>„</w:t>
      </w:r>
      <w:r w:rsidR="00B67550" w:rsidRPr="007D7F66">
        <w:rPr>
          <w:sz w:val="20"/>
          <w:szCs w:val="20"/>
        </w:rPr>
        <w:t>Mój Dom</w:t>
      </w:r>
      <w:r w:rsidRPr="007D7F66">
        <w:rPr>
          <w:sz w:val="20"/>
          <w:szCs w:val="20"/>
        </w:rPr>
        <w:t>”,</w:t>
      </w:r>
      <w:r w:rsidR="00B67550" w:rsidRPr="007D7F66">
        <w:rPr>
          <w:sz w:val="20"/>
          <w:szCs w:val="20"/>
        </w:rPr>
        <w:t xml:space="preserve"> przeprowadzonego przez </w:t>
      </w:r>
      <w:proofErr w:type="spellStart"/>
      <w:r w:rsidR="00B67550" w:rsidRPr="007D7F66">
        <w:rPr>
          <w:sz w:val="20"/>
          <w:szCs w:val="20"/>
        </w:rPr>
        <w:t>Westwing</w:t>
      </w:r>
      <w:proofErr w:type="spellEnd"/>
      <w:r w:rsidR="00B67550" w:rsidRPr="007D7F66">
        <w:rPr>
          <w:sz w:val="20"/>
          <w:szCs w:val="20"/>
        </w:rPr>
        <w:t xml:space="preserve"> Home &amp; </w:t>
      </w:r>
      <w:proofErr w:type="spellStart"/>
      <w:r w:rsidR="00B67550" w:rsidRPr="007D7F66">
        <w:rPr>
          <w:sz w:val="20"/>
          <w:szCs w:val="20"/>
        </w:rPr>
        <w:t>Living</w:t>
      </w:r>
      <w:proofErr w:type="spellEnd"/>
      <w:r w:rsidR="00B67550" w:rsidRPr="007D7F66">
        <w:rPr>
          <w:sz w:val="20"/>
          <w:szCs w:val="20"/>
        </w:rPr>
        <w:t xml:space="preserve"> (2015)</w:t>
      </w:r>
      <w:r w:rsidR="007D7F66" w:rsidRPr="007D7F66">
        <w:rPr>
          <w:sz w:val="20"/>
          <w:szCs w:val="20"/>
        </w:rPr>
        <w:br/>
        <w:t>**</w:t>
      </w:r>
      <w:r w:rsidR="007D7F66">
        <w:rPr>
          <w:sz w:val="20"/>
          <w:szCs w:val="20"/>
        </w:rPr>
        <w:t xml:space="preserve"> Badanie ARC rynek i opinia dla Biura Informacji Kredytowej (marzec 2016)</w:t>
      </w:r>
    </w:p>
    <w:p w14:paraId="4B737A51" w14:textId="77777777" w:rsidR="005272FA" w:rsidRPr="000F2E33" w:rsidRDefault="005272FA" w:rsidP="00957B29">
      <w:pPr>
        <w:jc w:val="both"/>
        <w:rPr>
          <w:rFonts w:cs="Times New Roman"/>
        </w:rPr>
      </w:pPr>
      <w:r w:rsidRPr="000F2E33">
        <w:rPr>
          <w:rFonts w:cs="Times New Roman"/>
          <w:b/>
          <w:bCs/>
          <w:u w:val="single"/>
        </w:rPr>
        <w:t>O BIK:</w:t>
      </w:r>
    </w:p>
    <w:p w14:paraId="1B2C3DE6" w14:textId="023415EB" w:rsidR="00D65278" w:rsidRDefault="00D65278" w:rsidP="00957B29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D65278">
        <w:rPr>
          <w:rFonts w:cs="Times New Roman"/>
          <w:b/>
          <w:bCs/>
          <w:sz w:val="18"/>
          <w:szCs w:val="18"/>
        </w:rPr>
        <w:t>Biuro Informacji Kredytowej S.A.</w:t>
      </w:r>
      <w:r w:rsidRPr="00D65278">
        <w:rPr>
          <w:rFonts w:cs="Times New Roman"/>
          <w:bCs/>
          <w:sz w:val="18"/>
          <w:szCs w:val="18"/>
        </w:rPr>
        <w:t xml:space="preserve"> gromadzi i udostępnia dane o histo</w:t>
      </w:r>
      <w:r>
        <w:rPr>
          <w:rFonts w:cs="Times New Roman"/>
          <w:bCs/>
          <w:sz w:val="18"/>
          <w:szCs w:val="18"/>
        </w:rPr>
        <w:t xml:space="preserve">rii kredytowej klientów banków </w:t>
      </w:r>
      <w:r w:rsidRPr="00D65278">
        <w:rPr>
          <w:rFonts w:cs="Times New Roman"/>
          <w:bCs/>
          <w:sz w:val="18"/>
          <w:szCs w:val="18"/>
        </w:rPr>
        <w:t xml:space="preserve">SKOK-ów, tj. z całego rynku kredytowego w Polsce. BIK jako największy w kraju zbiór danych o klientach indywidualnych i przedsiębiorcach, także w obszarze pożyczek </w:t>
      </w:r>
      <w:proofErr w:type="spellStart"/>
      <w:r w:rsidRPr="00D65278">
        <w:rPr>
          <w:rFonts w:cs="Times New Roman"/>
          <w:bCs/>
          <w:sz w:val="18"/>
          <w:szCs w:val="18"/>
        </w:rPr>
        <w:t>pozabankowych</w:t>
      </w:r>
      <w:proofErr w:type="spellEnd"/>
      <w:r w:rsidRPr="00D65278">
        <w:rPr>
          <w:rFonts w:cs="Times New Roman"/>
          <w:bCs/>
          <w:sz w:val="18"/>
          <w:szCs w:val="18"/>
        </w:rPr>
        <w:t>, posiada w swojej bazie informacje o 13</w:t>
      </w:r>
      <w:r>
        <w:rPr>
          <w:rFonts w:cs="Times New Roman"/>
          <w:bCs/>
          <w:sz w:val="18"/>
          <w:szCs w:val="18"/>
        </w:rPr>
        <w:t>5</w:t>
      </w:r>
      <w:r w:rsidRPr="00D65278">
        <w:rPr>
          <w:rFonts w:cs="Times New Roman"/>
          <w:bCs/>
          <w:sz w:val="18"/>
          <w:szCs w:val="18"/>
        </w:rPr>
        <w:t xml:space="preserve"> mln. rachunków należących do 23 mln. klientów indywidualnych. Poprzez internetowy portal </w:t>
      </w:r>
      <w:hyperlink r:id="rId11" w:history="1">
        <w:r w:rsidRPr="00B43659">
          <w:rPr>
            <w:rStyle w:val="Hipercze"/>
            <w:rFonts w:cs="Times New Roman"/>
            <w:bCs/>
            <w:sz w:val="18"/>
            <w:szCs w:val="18"/>
          </w:rPr>
          <w:t>www.bik.pl</w:t>
        </w:r>
      </w:hyperlink>
      <w:r>
        <w:rPr>
          <w:rFonts w:cs="Times New Roman"/>
          <w:bCs/>
          <w:sz w:val="18"/>
          <w:szCs w:val="18"/>
        </w:rPr>
        <w:t xml:space="preserve"> </w:t>
      </w:r>
      <w:r w:rsidRPr="00D65278">
        <w:rPr>
          <w:rFonts w:cs="Times New Roman"/>
          <w:bCs/>
          <w:sz w:val="18"/>
          <w:szCs w:val="18"/>
        </w:rPr>
        <w:t xml:space="preserve">umożliwia klientom indywidualnym monitorowanie własnej historii kredytowej, a dzięki </w:t>
      </w:r>
      <w:r w:rsidRPr="00D65278">
        <w:rPr>
          <w:rFonts w:cs="Times New Roman"/>
          <w:bCs/>
          <w:i/>
          <w:sz w:val="18"/>
          <w:szCs w:val="18"/>
        </w:rPr>
        <w:t>Alertom BIK</w:t>
      </w:r>
      <w:r w:rsidRPr="00D65278">
        <w:rPr>
          <w:rFonts w:cs="Times New Roman"/>
          <w:bCs/>
          <w:sz w:val="18"/>
          <w:szCs w:val="18"/>
        </w:rPr>
        <w:t xml:space="preserve"> pomaga chronić się przed wyłudzeniem kredytu lub opóźnieniem w spłacie. BIK spełnia rolę społeczną, inicjując akcję edukacyjną </w:t>
      </w:r>
      <w:r w:rsidRPr="00D65278">
        <w:rPr>
          <w:rFonts w:cs="Times New Roman"/>
          <w:bCs/>
          <w:i/>
          <w:sz w:val="18"/>
          <w:szCs w:val="18"/>
        </w:rPr>
        <w:t>Nieskradzione.pl</w:t>
      </w:r>
      <w:r w:rsidRPr="00D65278">
        <w:rPr>
          <w:rFonts w:cs="Times New Roman"/>
          <w:bCs/>
          <w:sz w:val="18"/>
          <w:szCs w:val="18"/>
        </w:rPr>
        <w:t xml:space="preserve">, której celem jest uświadomienie potrzeby ochrony swoich danych osobowych. Biuro wykorzystuje najwyższe standardy gromadzenia i przetwarzania danych oraz działa na podstawie restrykcyjnych przepisów – </w:t>
      </w:r>
      <w:r w:rsidRPr="00D65278">
        <w:rPr>
          <w:rFonts w:cs="Times New Roman"/>
          <w:bCs/>
          <w:i/>
          <w:sz w:val="18"/>
          <w:szCs w:val="18"/>
        </w:rPr>
        <w:t>Ustawy Prawo bankowe</w:t>
      </w:r>
      <w:r w:rsidRPr="00D65278">
        <w:rPr>
          <w:rFonts w:cs="Times New Roman"/>
          <w:bCs/>
          <w:sz w:val="18"/>
          <w:szCs w:val="18"/>
        </w:rPr>
        <w:t xml:space="preserve"> oraz </w:t>
      </w:r>
      <w:r w:rsidRPr="00D65278">
        <w:rPr>
          <w:rFonts w:cs="Times New Roman"/>
          <w:bCs/>
          <w:i/>
          <w:sz w:val="18"/>
          <w:szCs w:val="18"/>
        </w:rPr>
        <w:t>Ustawy o ochronie danych osobowych</w:t>
      </w:r>
      <w:r w:rsidRPr="00D65278">
        <w:rPr>
          <w:rFonts w:cs="Times New Roman"/>
          <w:bCs/>
          <w:sz w:val="18"/>
          <w:szCs w:val="18"/>
        </w:rPr>
        <w:t>.</w:t>
      </w:r>
      <w:r w:rsidRPr="00D65278">
        <w:rPr>
          <w:rFonts w:cs="Times New Roman"/>
          <w:b/>
          <w:bCs/>
          <w:sz w:val="18"/>
          <w:szCs w:val="18"/>
        </w:rPr>
        <w:t xml:space="preserve"> </w:t>
      </w:r>
    </w:p>
    <w:p w14:paraId="01093E09" w14:textId="77777777" w:rsidR="00D65278" w:rsidRDefault="00D65278" w:rsidP="00957B29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2B61ED4D" w14:textId="0B4F6CAF" w:rsidR="005272FA" w:rsidRPr="002F7DE4" w:rsidRDefault="005272FA" w:rsidP="00957B29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2F7DE4">
        <w:rPr>
          <w:rFonts w:cs="Times New Roman"/>
          <w:b/>
          <w:bCs/>
          <w:sz w:val="20"/>
          <w:szCs w:val="20"/>
        </w:rPr>
        <w:t>Kontakt dla prasy: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272FA" w:rsidRPr="002F7DE4" w14:paraId="69933CC9" w14:textId="77777777" w:rsidTr="00742AA9">
        <w:tc>
          <w:tcPr>
            <w:tcW w:w="4606" w:type="dxa"/>
          </w:tcPr>
          <w:p w14:paraId="66D9777D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F7DE4">
              <w:rPr>
                <w:rFonts w:cs="Times New Roman"/>
                <w:sz w:val="20"/>
                <w:szCs w:val="20"/>
              </w:rPr>
              <w:t>Alina Stahl</w:t>
            </w:r>
          </w:p>
          <w:p w14:paraId="3FC9F26B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F7DE4">
              <w:rPr>
                <w:rFonts w:cs="Times New Roman"/>
                <w:sz w:val="20"/>
                <w:szCs w:val="20"/>
              </w:rPr>
              <w:t>Dyrektor Biura PR i Komunikacji</w:t>
            </w:r>
          </w:p>
          <w:p w14:paraId="4165BDF3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2F7DE4">
              <w:rPr>
                <w:rFonts w:cs="Times New Roman"/>
                <w:sz w:val="20"/>
                <w:szCs w:val="20"/>
                <w:lang w:val="sv-SE"/>
              </w:rPr>
              <w:t>tel.: +48 22 348 4180</w:t>
            </w:r>
          </w:p>
          <w:p w14:paraId="7734ED43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2F7DE4">
              <w:rPr>
                <w:rFonts w:cs="Times New Roman"/>
                <w:sz w:val="20"/>
                <w:szCs w:val="20"/>
                <w:lang w:val="sv-SE"/>
              </w:rPr>
              <w:t>kom.: + 48 512 164 476</w:t>
            </w:r>
          </w:p>
          <w:p w14:paraId="447F2950" w14:textId="77777777" w:rsidR="005272FA" w:rsidRPr="002F7DE4" w:rsidRDefault="00447A87" w:rsidP="00957B29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hyperlink r:id="rId12" w:history="1">
              <w:r w:rsidR="005272FA" w:rsidRPr="002F7DE4">
                <w:rPr>
                  <w:rStyle w:val="Hipercze"/>
                  <w:rFonts w:cs="Times New Roman"/>
                  <w:sz w:val="20"/>
                  <w:szCs w:val="20"/>
                  <w:lang w:val="sv-SE"/>
                </w:rPr>
                <w:t>kontaktmedia@bik.pl</w:t>
              </w:r>
            </w:hyperlink>
            <w:r w:rsidR="005272FA" w:rsidRPr="002F7DE4">
              <w:rPr>
                <w:rFonts w:cs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14:paraId="5D60B335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F7DE4">
              <w:rPr>
                <w:rFonts w:cs="Times New Roman"/>
                <w:sz w:val="20"/>
                <w:szCs w:val="20"/>
              </w:rPr>
              <w:t>Aleksandra Stankiewicz-Billewicz</w:t>
            </w:r>
          </w:p>
          <w:p w14:paraId="61C7ED97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F7DE4">
              <w:rPr>
                <w:rFonts w:cs="Times New Roman"/>
                <w:sz w:val="20"/>
                <w:szCs w:val="20"/>
              </w:rPr>
              <w:t>Biuro PR i Komunikacji</w:t>
            </w:r>
          </w:p>
          <w:p w14:paraId="4DF2A4ED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2F7DE4">
              <w:rPr>
                <w:rFonts w:cs="Times New Roman"/>
                <w:sz w:val="20"/>
                <w:szCs w:val="20"/>
                <w:lang w:val="sv-SE"/>
              </w:rPr>
              <w:t>tel.: +48 22 348 4131</w:t>
            </w:r>
          </w:p>
          <w:p w14:paraId="70AE0797" w14:textId="77777777" w:rsidR="005272FA" w:rsidRPr="002F7DE4" w:rsidRDefault="005272FA" w:rsidP="00957B29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2F7DE4">
              <w:rPr>
                <w:rFonts w:cs="Times New Roman"/>
                <w:sz w:val="20"/>
                <w:szCs w:val="20"/>
                <w:lang w:val="sv-SE"/>
              </w:rPr>
              <w:t>kom.: + 48 512 164 131</w:t>
            </w:r>
          </w:p>
          <w:p w14:paraId="5F66107C" w14:textId="77777777" w:rsidR="00957B29" w:rsidRPr="002F7DE4" w:rsidRDefault="00447A87" w:rsidP="00EE2036">
            <w:pPr>
              <w:spacing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hyperlink r:id="rId13" w:history="1">
              <w:r w:rsidR="005272FA" w:rsidRPr="002F7DE4">
                <w:rPr>
                  <w:rStyle w:val="Hipercze"/>
                  <w:rFonts w:cs="Times New Roman"/>
                  <w:sz w:val="20"/>
                  <w:szCs w:val="20"/>
                  <w:lang w:val="sv-SE"/>
                </w:rPr>
                <w:t>kontaktmedia@bik.pl</w:t>
              </w:r>
            </w:hyperlink>
            <w:r w:rsidR="005272FA" w:rsidRPr="002F7DE4">
              <w:rPr>
                <w:rFonts w:cs="Times New Roman"/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508FDFC2" w14:textId="77777777" w:rsidR="000476B4" w:rsidRPr="000F2E33" w:rsidRDefault="000476B4" w:rsidP="00EE2036">
      <w:pPr>
        <w:jc w:val="both"/>
        <w:rPr>
          <w:rFonts w:cs="Times New Roman"/>
          <w:b/>
          <w:u w:val="single"/>
        </w:rPr>
      </w:pPr>
    </w:p>
    <w:sectPr w:rsidR="000476B4" w:rsidRPr="000F2E33" w:rsidSect="007950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15DBF" w15:done="0"/>
  <w15:commentEx w15:paraId="16DE41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1CB97" w14:textId="77777777" w:rsidR="00447A87" w:rsidRDefault="00447A87" w:rsidP="00170D69">
      <w:pPr>
        <w:spacing w:after="0" w:line="240" w:lineRule="auto"/>
      </w:pPr>
      <w:r>
        <w:separator/>
      </w:r>
    </w:p>
  </w:endnote>
  <w:endnote w:type="continuationSeparator" w:id="0">
    <w:p w14:paraId="67AAEDCA" w14:textId="77777777" w:rsidR="00447A87" w:rsidRDefault="00447A87" w:rsidP="001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ber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2964"/>
      <w:docPartObj>
        <w:docPartGallery w:val="Page Numbers (Bottom of Page)"/>
        <w:docPartUnique/>
      </w:docPartObj>
    </w:sdtPr>
    <w:sdtEndPr/>
    <w:sdtContent>
      <w:p w14:paraId="63E86FD0" w14:textId="77777777" w:rsidR="00742AA9" w:rsidRDefault="00742A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659F9" w14:textId="77777777" w:rsidR="00742AA9" w:rsidRDefault="00742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DD0CC" w14:textId="77777777" w:rsidR="00447A87" w:rsidRDefault="00447A87" w:rsidP="00170D69">
      <w:pPr>
        <w:spacing w:after="0" w:line="240" w:lineRule="auto"/>
      </w:pPr>
      <w:r>
        <w:separator/>
      </w:r>
    </w:p>
  </w:footnote>
  <w:footnote w:type="continuationSeparator" w:id="0">
    <w:p w14:paraId="409A3A53" w14:textId="77777777" w:rsidR="00447A87" w:rsidRDefault="00447A87" w:rsidP="0017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0013" w14:textId="77777777" w:rsidR="00742AA9" w:rsidRDefault="00742AA9" w:rsidP="00273514">
    <w:pPr>
      <w:pStyle w:val="Nagwek"/>
      <w:jc w:val="center"/>
    </w:pPr>
    <w:r w:rsidRPr="00273514">
      <w:rPr>
        <w:noProof/>
      </w:rPr>
      <w:drawing>
        <wp:inline distT="0" distB="0" distL="0" distR="0" wp14:anchorId="44D501DF" wp14:editId="3AB5968A">
          <wp:extent cx="1524000" cy="783814"/>
          <wp:effectExtent l="19050" t="0" r="0" b="0"/>
          <wp:docPr id="4" name="Obraz 2" descr="Logotyp BIK - Uproszczone - 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BIK - Uproszczone - pel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760" cy="78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CC4B9" w14:textId="77777777" w:rsidR="00742AA9" w:rsidRDefault="00742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684"/>
    <w:multiLevelType w:val="hybridMultilevel"/>
    <w:tmpl w:val="A28A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A4D"/>
    <w:multiLevelType w:val="hybridMultilevel"/>
    <w:tmpl w:val="F1C0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5E46"/>
    <w:multiLevelType w:val="multilevel"/>
    <w:tmpl w:val="CAD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15460"/>
    <w:multiLevelType w:val="hybridMultilevel"/>
    <w:tmpl w:val="FCF03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97F7E"/>
    <w:multiLevelType w:val="hybridMultilevel"/>
    <w:tmpl w:val="CF54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AF5"/>
    <w:multiLevelType w:val="hybridMultilevel"/>
    <w:tmpl w:val="88A0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7535D"/>
    <w:multiLevelType w:val="hybridMultilevel"/>
    <w:tmpl w:val="DB2E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4BB9"/>
    <w:multiLevelType w:val="hybridMultilevel"/>
    <w:tmpl w:val="23864B0C"/>
    <w:lvl w:ilvl="0" w:tplc="912EF8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uta Cabaj">
    <w15:presenceInfo w15:providerId="AD" w15:userId="S-1-5-21-2414005191-2431363525-1628603290-51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53"/>
    <w:rsid w:val="00007041"/>
    <w:rsid w:val="0000789C"/>
    <w:rsid w:val="00014E1B"/>
    <w:rsid w:val="000153C7"/>
    <w:rsid w:val="00020208"/>
    <w:rsid w:val="0002082C"/>
    <w:rsid w:val="00025970"/>
    <w:rsid w:val="0002712E"/>
    <w:rsid w:val="000340BA"/>
    <w:rsid w:val="00034DAA"/>
    <w:rsid w:val="0004106A"/>
    <w:rsid w:val="0004128B"/>
    <w:rsid w:val="000425DA"/>
    <w:rsid w:val="00043BCD"/>
    <w:rsid w:val="0004413D"/>
    <w:rsid w:val="00044537"/>
    <w:rsid w:val="00047137"/>
    <w:rsid w:val="000476B4"/>
    <w:rsid w:val="00057620"/>
    <w:rsid w:val="00057700"/>
    <w:rsid w:val="000635BC"/>
    <w:rsid w:val="00065BA0"/>
    <w:rsid w:val="000749C5"/>
    <w:rsid w:val="00075948"/>
    <w:rsid w:val="00087B3B"/>
    <w:rsid w:val="00090D35"/>
    <w:rsid w:val="000915EE"/>
    <w:rsid w:val="00094821"/>
    <w:rsid w:val="000954E2"/>
    <w:rsid w:val="000972B5"/>
    <w:rsid w:val="00097DB3"/>
    <w:rsid w:val="000A4AD9"/>
    <w:rsid w:val="000A7797"/>
    <w:rsid w:val="000A7CBF"/>
    <w:rsid w:val="000B239E"/>
    <w:rsid w:val="000C45BE"/>
    <w:rsid w:val="000D0344"/>
    <w:rsid w:val="000F2E33"/>
    <w:rsid w:val="000F2E36"/>
    <w:rsid w:val="00102F76"/>
    <w:rsid w:val="001051E2"/>
    <w:rsid w:val="00120745"/>
    <w:rsid w:val="001271B7"/>
    <w:rsid w:val="00127E17"/>
    <w:rsid w:val="0013069E"/>
    <w:rsid w:val="0013183E"/>
    <w:rsid w:val="00131AAD"/>
    <w:rsid w:val="00133716"/>
    <w:rsid w:val="00135575"/>
    <w:rsid w:val="00136091"/>
    <w:rsid w:val="001376F1"/>
    <w:rsid w:val="00142473"/>
    <w:rsid w:val="00144487"/>
    <w:rsid w:val="00144F1A"/>
    <w:rsid w:val="0015444A"/>
    <w:rsid w:val="00170D69"/>
    <w:rsid w:val="00173380"/>
    <w:rsid w:val="001777DC"/>
    <w:rsid w:val="001932E3"/>
    <w:rsid w:val="00196454"/>
    <w:rsid w:val="00197E65"/>
    <w:rsid w:val="001A36B6"/>
    <w:rsid w:val="001B02CC"/>
    <w:rsid w:val="001B04E0"/>
    <w:rsid w:val="001B3994"/>
    <w:rsid w:val="001C104C"/>
    <w:rsid w:val="001C4319"/>
    <w:rsid w:val="001C6FC5"/>
    <w:rsid w:val="001D22B4"/>
    <w:rsid w:val="001D3C7E"/>
    <w:rsid w:val="001D6FA3"/>
    <w:rsid w:val="001E155C"/>
    <w:rsid w:val="001E654C"/>
    <w:rsid w:val="001F2346"/>
    <w:rsid w:val="001F5C47"/>
    <w:rsid w:val="0020519A"/>
    <w:rsid w:val="00207859"/>
    <w:rsid w:val="002124DC"/>
    <w:rsid w:val="00217E67"/>
    <w:rsid w:val="00222025"/>
    <w:rsid w:val="0023246B"/>
    <w:rsid w:val="00235385"/>
    <w:rsid w:val="002365E2"/>
    <w:rsid w:val="00243654"/>
    <w:rsid w:val="00252709"/>
    <w:rsid w:val="0025518D"/>
    <w:rsid w:val="00264336"/>
    <w:rsid w:val="00270D5B"/>
    <w:rsid w:val="00273514"/>
    <w:rsid w:val="0027584C"/>
    <w:rsid w:val="00281186"/>
    <w:rsid w:val="00285761"/>
    <w:rsid w:val="002907C9"/>
    <w:rsid w:val="00295DCA"/>
    <w:rsid w:val="002A208F"/>
    <w:rsid w:val="002B4DDD"/>
    <w:rsid w:val="002C1934"/>
    <w:rsid w:val="002C2906"/>
    <w:rsid w:val="002C4D01"/>
    <w:rsid w:val="002C7BAF"/>
    <w:rsid w:val="002D11D8"/>
    <w:rsid w:val="002E018A"/>
    <w:rsid w:val="002E07A3"/>
    <w:rsid w:val="002F039E"/>
    <w:rsid w:val="002F3CA3"/>
    <w:rsid w:val="002F44A5"/>
    <w:rsid w:val="002F7DE4"/>
    <w:rsid w:val="003107D5"/>
    <w:rsid w:val="00312067"/>
    <w:rsid w:val="003125F5"/>
    <w:rsid w:val="0031301A"/>
    <w:rsid w:val="00314731"/>
    <w:rsid w:val="00315214"/>
    <w:rsid w:val="00315334"/>
    <w:rsid w:val="0031625C"/>
    <w:rsid w:val="00330381"/>
    <w:rsid w:val="00330865"/>
    <w:rsid w:val="003370BC"/>
    <w:rsid w:val="0034611D"/>
    <w:rsid w:val="00347EB8"/>
    <w:rsid w:val="003513D7"/>
    <w:rsid w:val="00352019"/>
    <w:rsid w:val="0035408A"/>
    <w:rsid w:val="003553D3"/>
    <w:rsid w:val="00367BDC"/>
    <w:rsid w:val="0037094E"/>
    <w:rsid w:val="00375BFC"/>
    <w:rsid w:val="00384E31"/>
    <w:rsid w:val="00386D3A"/>
    <w:rsid w:val="003916CD"/>
    <w:rsid w:val="00391828"/>
    <w:rsid w:val="003969AC"/>
    <w:rsid w:val="00397CC4"/>
    <w:rsid w:val="003B1E5B"/>
    <w:rsid w:val="003B3DA8"/>
    <w:rsid w:val="003B4C1F"/>
    <w:rsid w:val="003B5F30"/>
    <w:rsid w:val="003B708F"/>
    <w:rsid w:val="003B7D60"/>
    <w:rsid w:val="003C32BA"/>
    <w:rsid w:val="003C5E8C"/>
    <w:rsid w:val="003C7C34"/>
    <w:rsid w:val="003D320C"/>
    <w:rsid w:val="003E4ED8"/>
    <w:rsid w:val="003F1E18"/>
    <w:rsid w:val="00400C5D"/>
    <w:rsid w:val="00404E70"/>
    <w:rsid w:val="00410409"/>
    <w:rsid w:val="00425135"/>
    <w:rsid w:val="00431B04"/>
    <w:rsid w:val="0043285D"/>
    <w:rsid w:val="00434F5D"/>
    <w:rsid w:val="00441BBF"/>
    <w:rsid w:val="00441DE6"/>
    <w:rsid w:val="00447A87"/>
    <w:rsid w:val="00461BFA"/>
    <w:rsid w:val="00461D32"/>
    <w:rsid w:val="00462590"/>
    <w:rsid w:val="0046348E"/>
    <w:rsid w:val="00473DCF"/>
    <w:rsid w:val="00492331"/>
    <w:rsid w:val="00494451"/>
    <w:rsid w:val="004A1ED0"/>
    <w:rsid w:val="004A43A1"/>
    <w:rsid w:val="004B1621"/>
    <w:rsid w:val="004B34AE"/>
    <w:rsid w:val="004C0C3C"/>
    <w:rsid w:val="004C442A"/>
    <w:rsid w:val="004C484F"/>
    <w:rsid w:val="004C64BE"/>
    <w:rsid w:val="004D05E8"/>
    <w:rsid w:val="004D4CED"/>
    <w:rsid w:val="004E1894"/>
    <w:rsid w:val="004E40F0"/>
    <w:rsid w:val="004F0594"/>
    <w:rsid w:val="004F4B36"/>
    <w:rsid w:val="004F58E0"/>
    <w:rsid w:val="004F7556"/>
    <w:rsid w:val="0050395C"/>
    <w:rsid w:val="005208E4"/>
    <w:rsid w:val="00521DA4"/>
    <w:rsid w:val="005272FA"/>
    <w:rsid w:val="00531277"/>
    <w:rsid w:val="00541742"/>
    <w:rsid w:val="00542881"/>
    <w:rsid w:val="00544AED"/>
    <w:rsid w:val="00551547"/>
    <w:rsid w:val="00553C8C"/>
    <w:rsid w:val="00560B9D"/>
    <w:rsid w:val="00566507"/>
    <w:rsid w:val="00566924"/>
    <w:rsid w:val="00567520"/>
    <w:rsid w:val="00571D59"/>
    <w:rsid w:val="00576B50"/>
    <w:rsid w:val="0058278C"/>
    <w:rsid w:val="0059734D"/>
    <w:rsid w:val="005A17C2"/>
    <w:rsid w:val="005A2448"/>
    <w:rsid w:val="005D02EF"/>
    <w:rsid w:val="005D2513"/>
    <w:rsid w:val="005D6F81"/>
    <w:rsid w:val="005E37EF"/>
    <w:rsid w:val="005E6BF4"/>
    <w:rsid w:val="005F6C83"/>
    <w:rsid w:val="005F7D95"/>
    <w:rsid w:val="00601FC8"/>
    <w:rsid w:val="006021A9"/>
    <w:rsid w:val="0060277A"/>
    <w:rsid w:val="00606179"/>
    <w:rsid w:val="0061726A"/>
    <w:rsid w:val="00622FD0"/>
    <w:rsid w:val="0062652D"/>
    <w:rsid w:val="00632882"/>
    <w:rsid w:val="006407F5"/>
    <w:rsid w:val="00640A5F"/>
    <w:rsid w:val="00643D62"/>
    <w:rsid w:val="006471EE"/>
    <w:rsid w:val="0065532F"/>
    <w:rsid w:val="00660214"/>
    <w:rsid w:val="00661580"/>
    <w:rsid w:val="00666261"/>
    <w:rsid w:val="00674206"/>
    <w:rsid w:val="00674798"/>
    <w:rsid w:val="00674F0F"/>
    <w:rsid w:val="00682253"/>
    <w:rsid w:val="006830EA"/>
    <w:rsid w:val="0069353B"/>
    <w:rsid w:val="006A35DC"/>
    <w:rsid w:val="006A75C6"/>
    <w:rsid w:val="006C1815"/>
    <w:rsid w:val="006C24CA"/>
    <w:rsid w:val="006D3B70"/>
    <w:rsid w:val="006D7B85"/>
    <w:rsid w:val="006E1474"/>
    <w:rsid w:val="006F0667"/>
    <w:rsid w:val="006F157E"/>
    <w:rsid w:val="006F243B"/>
    <w:rsid w:val="006F3436"/>
    <w:rsid w:val="006F4ED6"/>
    <w:rsid w:val="00700098"/>
    <w:rsid w:val="00704336"/>
    <w:rsid w:val="007056A6"/>
    <w:rsid w:val="00710A98"/>
    <w:rsid w:val="00720032"/>
    <w:rsid w:val="0072462D"/>
    <w:rsid w:val="00724D07"/>
    <w:rsid w:val="007303D8"/>
    <w:rsid w:val="007355C1"/>
    <w:rsid w:val="0073640E"/>
    <w:rsid w:val="0073693C"/>
    <w:rsid w:val="00742AA9"/>
    <w:rsid w:val="00745656"/>
    <w:rsid w:val="0074652A"/>
    <w:rsid w:val="00752F35"/>
    <w:rsid w:val="007547E9"/>
    <w:rsid w:val="007670F2"/>
    <w:rsid w:val="00767E7D"/>
    <w:rsid w:val="007713A0"/>
    <w:rsid w:val="00773C3B"/>
    <w:rsid w:val="00776D65"/>
    <w:rsid w:val="00776FAF"/>
    <w:rsid w:val="00784FDE"/>
    <w:rsid w:val="00791037"/>
    <w:rsid w:val="00795089"/>
    <w:rsid w:val="0079571E"/>
    <w:rsid w:val="007A2868"/>
    <w:rsid w:val="007B0BE1"/>
    <w:rsid w:val="007B1C12"/>
    <w:rsid w:val="007B6952"/>
    <w:rsid w:val="007B696E"/>
    <w:rsid w:val="007C3144"/>
    <w:rsid w:val="007C4385"/>
    <w:rsid w:val="007D4490"/>
    <w:rsid w:val="007D7A21"/>
    <w:rsid w:val="007D7F66"/>
    <w:rsid w:val="007E0AF2"/>
    <w:rsid w:val="007E7CFE"/>
    <w:rsid w:val="0080082D"/>
    <w:rsid w:val="008013BA"/>
    <w:rsid w:val="008032EC"/>
    <w:rsid w:val="00810604"/>
    <w:rsid w:val="00815E78"/>
    <w:rsid w:val="00815F6D"/>
    <w:rsid w:val="0081788B"/>
    <w:rsid w:val="00823F7C"/>
    <w:rsid w:val="00831CEB"/>
    <w:rsid w:val="0083552A"/>
    <w:rsid w:val="00841CAE"/>
    <w:rsid w:val="00850372"/>
    <w:rsid w:val="00850A45"/>
    <w:rsid w:val="0085588E"/>
    <w:rsid w:val="00861560"/>
    <w:rsid w:val="008668B6"/>
    <w:rsid w:val="00876CBF"/>
    <w:rsid w:val="00877ED5"/>
    <w:rsid w:val="008826BA"/>
    <w:rsid w:val="008864B1"/>
    <w:rsid w:val="00890B34"/>
    <w:rsid w:val="0089385C"/>
    <w:rsid w:val="00893B2D"/>
    <w:rsid w:val="0089640F"/>
    <w:rsid w:val="008A08A6"/>
    <w:rsid w:val="008B2505"/>
    <w:rsid w:val="008C1B10"/>
    <w:rsid w:val="008C316A"/>
    <w:rsid w:val="008D3665"/>
    <w:rsid w:val="008D43D5"/>
    <w:rsid w:val="008D4A5F"/>
    <w:rsid w:val="008D58A3"/>
    <w:rsid w:val="008D5BDB"/>
    <w:rsid w:val="008D7015"/>
    <w:rsid w:val="008E48F4"/>
    <w:rsid w:val="008E5B41"/>
    <w:rsid w:val="008F3D25"/>
    <w:rsid w:val="00900111"/>
    <w:rsid w:val="00906CBD"/>
    <w:rsid w:val="009076C6"/>
    <w:rsid w:val="0090782A"/>
    <w:rsid w:val="00907EB6"/>
    <w:rsid w:val="009139B4"/>
    <w:rsid w:val="00916AAD"/>
    <w:rsid w:val="0093638C"/>
    <w:rsid w:val="00940ED5"/>
    <w:rsid w:val="00944F10"/>
    <w:rsid w:val="00945488"/>
    <w:rsid w:val="00946F33"/>
    <w:rsid w:val="0094795C"/>
    <w:rsid w:val="009557C8"/>
    <w:rsid w:val="00957B29"/>
    <w:rsid w:val="009630DA"/>
    <w:rsid w:val="00963358"/>
    <w:rsid w:val="0097129C"/>
    <w:rsid w:val="00971C37"/>
    <w:rsid w:val="00972BFB"/>
    <w:rsid w:val="009764B9"/>
    <w:rsid w:val="00981AE9"/>
    <w:rsid w:val="00982ECD"/>
    <w:rsid w:val="0098662A"/>
    <w:rsid w:val="00987CAF"/>
    <w:rsid w:val="009932EA"/>
    <w:rsid w:val="00995953"/>
    <w:rsid w:val="009A20CD"/>
    <w:rsid w:val="009A4C0B"/>
    <w:rsid w:val="009A5E82"/>
    <w:rsid w:val="009B00A0"/>
    <w:rsid w:val="009C615F"/>
    <w:rsid w:val="009D0EB2"/>
    <w:rsid w:val="009D4E9B"/>
    <w:rsid w:val="009E1FD4"/>
    <w:rsid w:val="009E4101"/>
    <w:rsid w:val="009F32BF"/>
    <w:rsid w:val="009F5A8F"/>
    <w:rsid w:val="009F6DCB"/>
    <w:rsid w:val="00A00E36"/>
    <w:rsid w:val="00A074E0"/>
    <w:rsid w:val="00A11090"/>
    <w:rsid w:val="00A12F2D"/>
    <w:rsid w:val="00A1476A"/>
    <w:rsid w:val="00A514A2"/>
    <w:rsid w:val="00A538B3"/>
    <w:rsid w:val="00A56CF7"/>
    <w:rsid w:val="00A61464"/>
    <w:rsid w:val="00A621D0"/>
    <w:rsid w:val="00A66832"/>
    <w:rsid w:val="00A673F0"/>
    <w:rsid w:val="00A71DFB"/>
    <w:rsid w:val="00A7496C"/>
    <w:rsid w:val="00A8027B"/>
    <w:rsid w:val="00A87571"/>
    <w:rsid w:val="00A92C48"/>
    <w:rsid w:val="00AA1B93"/>
    <w:rsid w:val="00AA1F3E"/>
    <w:rsid w:val="00AA7D2D"/>
    <w:rsid w:val="00AB132A"/>
    <w:rsid w:val="00AB613F"/>
    <w:rsid w:val="00AB72E7"/>
    <w:rsid w:val="00AC11B5"/>
    <w:rsid w:val="00AC781B"/>
    <w:rsid w:val="00AD05CD"/>
    <w:rsid w:val="00AD2C76"/>
    <w:rsid w:val="00AD472A"/>
    <w:rsid w:val="00AD5ADC"/>
    <w:rsid w:val="00AE56E0"/>
    <w:rsid w:val="00AE7381"/>
    <w:rsid w:val="00AE7E8A"/>
    <w:rsid w:val="00AF725C"/>
    <w:rsid w:val="00B01196"/>
    <w:rsid w:val="00B01B4C"/>
    <w:rsid w:val="00B05310"/>
    <w:rsid w:val="00B06B9A"/>
    <w:rsid w:val="00B1235D"/>
    <w:rsid w:val="00B14AD9"/>
    <w:rsid w:val="00B3726B"/>
    <w:rsid w:val="00B46624"/>
    <w:rsid w:val="00B51010"/>
    <w:rsid w:val="00B52884"/>
    <w:rsid w:val="00B54E7B"/>
    <w:rsid w:val="00B56ED4"/>
    <w:rsid w:val="00B6215E"/>
    <w:rsid w:val="00B67550"/>
    <w:rsid w:val="00B67C2A"/>
    <w:rsid w:val="00B72DA7"/>
    <w:rsid w:val="00B74663"/>
    <w:rsid w:val="00B74EE5"/>
    <w:rsid w:val="00B83F38"/>
    <w:rsid w:val="00B86565"/>
    <w:rsid w:val="00B93766"/>
    <w:rsid w:val="00BA5C5E"/>
    <w:rsid w:val="00BA7442"/>
    <w:rsid w:val="00BB2062"/>
    <w:rsid w:val="00BB32BE"/>
    <w:rsid w:val="00BC5003"/>
    <w:rsid w:val="00BC60E5"/>
    <w:rsid w:val="00BE013C"/>
    <w:rsid w:val="00BE43F7"/>
    <w:rsid w:val="00BE6A08"/>
    <w:rsid w:val="00BF3339"/>
    <w:rsid w:val="00BF4939"/>
    <w:rsid w:val="00BF779E"/>
    <w:rsid w:val="00C110F2"/>
    <w:rsid w:val="00C11C04"/>
    <w:rsid w:val="00C21FDB"/>
    <w:rsid w:val="00C27770"/>
    <w:rsid w:val="00C37D63"/>
    <w:rsid w:val="00C416A9"/>
    <w:rsid w:val="00C50EAB"/>
    <w:rsid w:val="00C51E46"/>
    <w:rsid w:val="00C60EE9"/>
    <w:rsid w:val="00C62536"/>
    <w:rsid w:val="00C70AE3"/>
    <w:rsid w:val="00C754EB"/>
    <w:rsid w:val="00C84BC3"/>
    <w:rsid w:val="00C85770"/>
    <w:rsid w:val="00C9137E"/>
    <w:rsid w:val="00CA4969"/>
    <w:rsid w:val="00CA5F38"/>
    <w:rsid w:val="00CA6E91"/>
    <w:rsid w:val="00CB5F88"/>
    <w:rsid w:val="00CB6FC0"/>
    <w:rsid w:val="00CB7079"/>
    <w:rsid w:val="00CC09C5"/>
    <w:rsid w:val="00CC5260"/>
    <w:rsid w:val="00CD3250"/>
    <w:rsid w:val="00CD36DE"/>
    <w:rsid w:val="00CD7280"/>
    <w:rsid w:val="00CE27CE"/>
    <w:rsid w:val="00CE3343"/>
    <w:rsid w:val="00CE3FCC"/>
    <w:rsid w:val="00CE41F3"/>
    <w:rsid w:val="00CE550A"/>
    <w:rsid w:val="00CE6D4C"/>
    <w:rsid w:val="00CF0519"/>
    <w:rsid w:val="00CF64EF"/>
    <w:rsid w:val="00D02439"/>
    <w:rsid w:val="00D036DD"/>
    <w:rsid w:val="00D059FB"/>
    <w:rsid w:val="00D261F7"/>
    <w:rsid w:val="00D33375"/>
    <w:rsid w:val="00D369E9"/>
    <w:rsid w:val="00D46413"/>
    <w:rsid w:val="00D50BA5"/>
    <w:rsid w:val="00D51334"/>
    <w:rsid w:val="00D6385F"/>
    <w:rsid w:val="00D65278"/>
    <w:rsid w:val="00D66463"/>
    <w:rsid w:val="00D66EB7"/>
    <w:rsid w:val="00D74013"/>
    <w:rsid w:val="00D74A32"/>
    <w:rsid w:val="00D81BF7"/>
    <w:rsid w:val="00D8590B"/>
    <w:rsid w:val="00D92741"/>
    <w:rsid w:val="00D9644A"/>
    <w:rsid w:val="00DA10E8"/>
    <w:rsid w:val="00DA2480"/>
    <w:rsid w:val="00DA46AA"/>
    <w:rsid w:val="00DA55EE"/>
    <w:rsid w:val="00DB281A"/>
    <w:rsid w:val="00DB3605"/>
    <w:rsid w:val="00DB4BB2"/>
    <w:rsid w:val="00DC2D0B"/>
    <w:rsid w:val="00DC32B3"/>
    <w:rsid w:val="00DC4FCE"/>
    <w:rsid w:val="00DE1001"/>
    <w:rsid w:val="00E002BA"/>
    <w:rsid w:val="00E024B5"/>
    <w:rsid w:val="00E076E1"/>
    <w:rsid w:val="00E14C69"/>
    <w:rsid w:val="00E15A17"/>
    <w:rsid w:val="00E203D4"/>
    <w:rsid w:val="00E21509"/>
    <w:rsid w:val="00E302D0"/>
    <w:rsid w:val="00E3050B"/>
    <w:rsid w:val="00E409B5"/>
    <w:rsid w:val="00E40AFF"/>
    <w:rsid w:val="00E444CB"/>
    <w:rsid w:val="00E55B34"/>
    <w:rsid w:val="00E55EE3"/>
    <w:rsid w:val="00E622FB"/>
    <w:rsid w:val="00E7349B"/>
    <w:rsid w:val="00E9188E"/>
    <w:rsid w:val="00E935C7"/>
    <w:rsid w:val="00E973A1"/>
    <w:rsid w:val="00EA14F9"/>
    <w:rsid w:val="00EA2E52"/>
    <w:rsid w:val="00EB23C3"/>
    <w:rsid w:val="00EB5C97"/>
    <w:rsid w:val="00EB647D"/>
    <w:rsid w:val="00EC0D3F"/>
    <w:rsid w:val="00EC4BF2"/>
    <w:rsid w:val="00ED3644"/>
    <w:rsid w:val="00ED45D6"/>
    <w:rsid w:val="00EE2036"/>
    <w:rsid w:val="00EE50C1"/>
    <w:rsid w:val="00EF3300"/>
    <w:rsid w:val="00EF5798"/>
    <w:rsid w:val="00F02912"/>
    <w:rsid w:val="00F02BB7"/>
    <w:rsid w:val="00F13869"/>
    <w:rsid w:val="00F25599"/>
    <w:rsid w:val="00F3286C"/>
    <w:rsid w:val="00F4277A"/>
    <w:rsid w:val="00F44EE1"/>
    <w:rsid w:val="00F45259"/>
    <w:rsid w:val="00F51C23"/>
    <w:rsid w:val="00F526B0"/>
    <w:rsid w:val="00F5622A"/>
    <w:rsid w:val="00F611EE"/>
    <w:rsid w:val="00F6220B"/>
    <w:rsid w:val="00F66921"/>
    <w:rsid w:val="00F74E98"/>
    <w:rsid w:val="00F81AE6"/>
    <w:rsid w:val="00F83E6A"/>
    <w:rsid w:val="00F8458A"/>
    <w:rsid w:val="00F86D45"/>
    <w:rsid w:val="00F944DF"/>
    <w:rsid w:val="00FA0B49"/>
    <w:rsid w:val="00FA281F"/>
    <w:rsid w:val="00FA3880"/>
    <w:rsid w:val="00FA60AC"/>
    <w:rsid w:val="00FB2ACD"/>
    <w:rsid w:val="00FB6DA2"/>
    <w:rsid w:val="00FD2CB5"/>
    <w:rsid w:val="00FD661C"/>
    <w:rsid w:val="00FE1EE2"/>
    <w:rsid w:val="00FE39F7"/>
    <w:rsid w:val="00FE4F2C"/>
    <w:rsid w:val="00FE560F"/>
    <w:rsid w:val="00FE7F0C"/>
    <w:rsid w:val="00FF377F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7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69"/>
  </w:style>
  <w:style w:type="paragraph" w:styleId="Stopka">
    <w:name w:val="footer"/>
    <w:basedOn w:val="Normalny"/>
    <w:link w:val="StopkaZnak"/>
    <w:uiPriority w:val="99"/>
    <w:unhideWhenUsed/>
    <w:rsid w:val="001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69"/>
  </w:style>
  <w:style w:type="character" w:styleId="Hipercze">
    <w:name w:val="Hyperlink"/>
    <w:uiPriority w:val="99"/>
    <w:unhideWhenUsed/>
    <w:rsid w:val="004C484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A35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5D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56E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4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451"/>
    <w:rPr>
      <w:vertAlign w:val="superscript"/>
    </w:rPr>
  </w:style>
  <w:style w:type="table" w:styleId="Tabela-Siatka">
    <w:name w:val="Table Grid"/>
    <w:basedOn w:val="Standardowy"/>
    <w:uiPriority w:val="59"/>
    <w:rsid w:val="0027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11">
    <w:name w:val="Tabela siatki 2 — akcent 11"/>
    <w:basedOn w:val="Standardowy"/>
    <w:uiPriority w:val="47"/>
    <w:rsid w:val="0027584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76CB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2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7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69"/>
  </w:style>
  <w:style w:type="paragraph" w:styleId="Stopka">
    <w:name w:val="footer"/>
    <w:basedOn w:val="Normalny"/>
    <w:link w:val="StopkaZnak"/>
    <w:uiPriority w:val="99"/>
    <w:unhideWhenUsed/>
    <w:rsid w:val="001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69"/>
  </w:style>
  <w:style w:type="character" w:styleId="Hipercze">
    <w:name w:val="Hyperlink"/>
    <w:uiPriority w:val="99"/>
    <w:unhideWhenUsed/>
    <w:rsid w:val="004C484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A35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5D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56E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4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451"/>
    <w:rPr>
      <w:vertAlign w:val="superscript"/>
    </w:rPr>
  </w:style>
  <w:style w:type="table" w:styleId="Tabela-Siatka">
    <w:name w:val="Table Grid"/>
    <w:basedOn w:val="Standardowy"/>
    <w:uiPriority w:val="59"/>
    <w:rsid w:val="0027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11">
    <w:name w:val="Tabela siatki 2 — akcent 11"/>
    <w:basedOn w:val="Standardowy"/>
    <w:uiPriority w:val="47"/>
    <w:rsid w:val="0027584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76CB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2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taktmedia@b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taktmedia@b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westwing.pl/metamorfoza-mieszkania-jak-czesto-decyduja-sie-na-nia-polac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94B-9967-41ED-8EC8-66ABFF9C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andrzej.topinski</dc:creator>
  <cp:lastModifiedBy>Stankiewicz-Billewicz Aleksandra</cp:lastModifiedBy>
  <cp:revision>3</cp:revision>
  <cp:lastPrinted>2016-03-17T09:20:00Z</cp:lastPrinted>
  <dcterms:created xsi:type="dcterms:W3CDTF">2016-04-08T11:57:00Z</dcterms:created>
  <dcterms:modified xsi:type="dcterms:W3CDTF">2016-04-08T12:06:00Z</dcterms:modified>
</cp:coreProperties>
</file>