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2A36" w14:textId="5F10F9F8" w:rsidR="00B23D72" w:rsidRDefault="00D02B4F" w:rsidP="00B23D7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Optymizm wypiera niepewność</w:t>
      </w:r>
    </w:p>
    <w:p w14:paraId="09CA604C" w14:textId="6916C5E7" w:rsidR="00B23D72" w:rsidRDefault="00694D81" w:rsidP="00FB4854">
      <w:pPr>
        <w:jc w:val="both"/>
        <w:rPr>
          <w:b/>
          <w:sz w:val="24"/>
          <w:szCs w:val="24"/>
        </w:rPr>
      </w:pPr>
      <w:r w:rsidRPr="00B23D72">
        <w:rPr>
          <w:b/>
          <w:sz w:val="24"/>
          <w:szCs w:val="24"/>
        </w:rPr>
        <w:t>Pol</w:t>
      </w:r>
      <w:r>
        <w:rPr>
          <w:b/>
          <w:sz w:val="24"/>
          <w:szCs w:val="24"/>
        </w:rPr>
        <w:t xml:space="preserve">scy konsumenci </w:t>
      </w:r>
      <w:r w:rsidR="00B23D72" w:rsidRPr="00B23D72">
        <w:rPr>
          <w:b/>
          <w:sz w:val="24"/>
          <w:szCs w:val="24"/>
        </w:rPr>
        <w:t xml:space="preserve">nie są już tak sceptyczni. Jak wynika z najnowszego badania przeprowadzonego przez GUS, </w:t>
      </w:r>
      <w:r w:rsidR="0076188C">
        <w:rPr>
          <w:b/>
          <w:sz w:val="24"/>
          <w:szCs w:val="24"/>
        </w:rPr>
        <w:t>dobrze</w:t>
      </w:r>
      <w:r w:rsidR="0076188C" w:rsidRPr="00B23D72">
        <w:rPr>
          <w:b/>
          <w:sz w:val="24"/>
          <w:szCs w:val="24"/>
        </w:rPr>
        <w:t xml:space="preserve"> </w:t>
      </w:r>
      <w:r w:rsidR="00B23D72" w:rsidRPr="00B23D72">
        <w:rPr>
          <w:b/>
          <w:sz w:val="24"/>
          <w:szCs w:val="24"/>
        </w:rPr>
        <w:t xml:space="preserve">oceniają nie tylko własną sytuację finansową, ale także z nadzieją spoglądają w najbliższą przyszłość, </w:t>
      </w:r>
      <w:r w:rsidR="00BB27B7">
        <w:rPr>
          <w:b/>
          <w:sz w:val="24"/>
          <w:szCs w:val="24"/>
        </w:rPr>
        <w:t xml:space="preserve">przewidując </w:t>
      </w:r>
      <w:r w:rsidR="008526CA">
        <w:rPr>
          <w:b/>
          <w:sz w:val="24"/>
          <w:szCs w:val="24"/>
        </w:rPr>
        <w:t>pozytywn</w:t>
      </w:r>
      <w:r w:rsidR="00BB27B7">
        <w:rPr>
          <w:b/>
          <w:sz w:val="24"/>
          <w:szCs w:val="24"/>
        </w:rPr>
        <w:t>e</w:t>
      </w:r>
      <w:r w:rsidR="008526CA">
        <w:rPr>
          <w:b/>
          <w:sz w:val="24"/>
          <w:szCs w:val="24"/>
        </w:rPr>
        <w:t xml:space="preserve"> zmian</w:t>
      </w:r>
      <w:r w:rsidR="00BB27B7">
        <w:rPr>
          <w:b/>
          <w:sz w:val="24"/>
          <w:szCs w:val="24"/>
        </w:rPr>
        <w:t>y</w:t>
      </w:r>
      <w:r w:rsidR="008526CA">
        <w:rPr>
          <w:b/>
          <w:sz w:val="24"/>
          <w:szCs w:val="24"/>
        </w:rPr>
        <w:t xml:space="preserve"> </w:t>
      </w:r>
      <w:r w:rsidR="00BB27B7">
        <w:rPr>
          <w:b/>
          <w:sz w:val="24"/>
          <w:szCs w:val="24"/>
        </w:rPr>
        <w:t xml:space="preserve">m.in. </w:t>
      </w:r>
      <w:r w:rsidR="008526CA">
        <w:rPr>
          <w:b/>
          <w:sz w:val="24"/>
          <w:szCs w:val="24"/>
        </w:rPr>
        <w:t>w sytuacji własnych gospodarstw domowych</w:t>
      </w:r>
      <w:r w:rsidR="00E77996">
        <w:rPr>
          <w:b/>
          <w:sz w:val="24"/>
          <w:szCs w:val="24"/>
        </w:rPr>
        <w:t xml:space="preserve">. </w:t>
      </w:r>
      <w:r w:rsidR="00B23D72" w:rsidRPr="00B23D72">
        <w:rPr>
          <w:b/>
          <w:sz w:val="24"/>
          <w:szCs w:val="24"/>
        </w:rPr>
        <w:t xml:space="preserve">Jak przekłada się to na ich codziennie </w:t>
      </w:r>
      <w:r w:rsidR="003E3DC1" w:rsidRPr="00B23D72">
        <w:rPr>
          <w:b/>
          <w:sz w:val="24"/>
          <w:szCs w:val="24"/>
        </w:rPr>
        <w:t>wybor</w:t>
      </w:r>
      <w:r w:rsidR="003E3DC1">
        <w:rPr>
          <w:b/>
          <w:sz w:val="24"/>
          <w:szCs w:val="24"/>
        </w:rPr>
        <w:t>y</w:t>
      </w:r>
      <w:r w:rsidR="003E3DC1" w:rsidRPr="00B23D72">
        <w:rPr>
          <w:b/>
          <w:sz w:val="24"/>
          <w:szCs w:val="24"/>
        </w:rPr>
        <w:t xml:space="preserve"> </w:t>
      </w:r>
      <w:r w:rsidR="00B23D72" w:rsidRPr="00B23D72">
        <w:rPr>
          <w:b/>
          <w:sz w:val="24"/>
          <w:szCs w:val="24"/>
        </w:rPr>
        <w:t xml:space="preserve">i </w:t>
      </w:r>
      <w:r w:rsidR="003E3DC1">
        <w:rPr>
          <w:b/>
          <w:sz w:val="24"/>
          <w:szCs w:val="24"/>
        </w:rPr>
        <w:t>jakie znaczenia ma</w:t>
      </w:r>
      <w:r w:rsidR="00B23D72" w:rsidRPr="00B23D72">
        <w:rPr>
          <w:b/>
          <w:sz w:val="24"/>
          <w:szCs w:val="24"/>
        </w:rPr>
        <w:t xml:space="preserve"> dla rynku</w:t>
      </w:r>
      <w:r w:rsidR="002A0E23">
        <w:rPr>
          <w:b/>
          <w:sz w:val="24"/>
          <w:szCs w:val="24"/>
        </w:rPr>
        <w:t xml:space="preserve"> FMCG</w:t>
      </w:r>
      <w:r w:rsidR="00B23D72" w:rsidRPr="00B23D72">
        <w:rPr>
          <w:b/>
          <w:sz w:val="24"/>
          <w:szCs w:val="24"/>
        </w:rPr>
        <w:t xml:space="preserve">? </w:t>
      </w:r>
    </w:p>
    <w:p w14:paraId="2E23D022" w14:textId="77777777" w:rsidR="00B23D72" w:rsidRPr="00B23D72" w:rsidRDefault="00B23D72" w:rsidP="00B23D72">
      <w:pPr>
        <w:jc w:val="both"/>
        <w:rPr>
          <w:b/>
          <w:sz w:val="24"/>
          <w:szCs w:val="24"/>
        </w:rPr>
      </w:pPr>
      <w:r w:rsidRPr="00B23D72">
        <w:rPr>
          <w:b/>
          <w:sz w:val="24"/>
          <w:szCs w:val="24"/>
        </w:rPr>
        <w:t>Jest dobrze</w:t>
      </w:r>
    </w:p>
    <w:p w14:paraId="2EF47109" w14:textId="18DFAD0B" w:rsidR="00B23D72" w:rsidRPr="00B23D72" w:rsidRDefault="0039797A" w:rsidP="00B23D72">
      <w:pPr>
        <w:jc w:val="both"/>
        <w:rPr>
          <w:sz w:val="24"/>
          <w:szCs w:val="24"/>
        </w:rPr>
      </w:pPr>
      <w:r>
        <w:rPr>
          <w:sz w:val="24"/>
          <w:szCs w:val="24"/>
        </w:rPr>
        <w:t>Zyskujący na sile</w:t>
      </w:r>
      <w:r w:rsidRPr="00B23D72">
        <w:rPr>
          <w:sz w:val="24"/>
          <w:szCs w:val="24"/>
        </w:rPr>
        <w:t xml:space="preserve"> </w:t>
      </w:r>
      <w:r w:rsidR="00B23D72" w:rsidRPr="00B23D72">
        <w:rPr>
          <w:sz w:val="24"/>
          <w:szCs w:val="24"/>
        </w:rPr>
        <w:t>entuzjazm Polaków potwierdza badanie, podczas którego GUS</w:t>
      </w:r>
      <w:r w:rsidR="00B23D72">
        <w:rPr>
          <w:rStyle w:val="Odwoanieprzypisudolnego"/>
          <w:sz w:val="24"/>
          <w:szCs w:val="24"/>
        </w:rPr>
        <w:footnoteReference w:id="1"/>
      </w:r>
      <w:r w:rsidR="00B23D72" w:rsidRPr="00B23D72">
        <w:rPr>
          <w:sz w:val="24"/>
          <w:szCs w:val="24"/>
        </w:rPr>
        <w:t xml:space="preserve"> zapytał </w:t>
      </w:r>
      <w:r w:rsidR="00830DA3">
        <w:rPr>
          <w:sz w:val="24"/>
          <w:szCs w:val="24"/>
        </w:rPr>
        <w:t xml:space="preserve">konsumentów o ich </w:t>
      </w:r>
      <w:r w:rsidR="00B23D72" w:rsidRPr="00B23D72">
        <w:rPr>
          <w:sz w:val="24"/>
          <w:szCs w:val="24"/>
        </w:rPr>
        <w:t xml:space="preserve">stosunek do sytuacji obecnej, jak również poprosił o ocenę prognoz na najbliższe miesiące. Jakie były wyniki? Wyłącznie pozytywne. Bieżący wskaźnik ufności konsumenckiej (BWUK), opisujący </w:t>
      </w:r>
      <w:r w:rsidR="00200650">
        <w:rPr>
          <w:sz w:val="24"/>
          <w:szCs w:val="24"/>
        </w:rPr>
        <w:t>aktualnie</w:t>
      </w:r>
      <w:r w:rsidR="0076188C">
        <w:rPr>
          <w:sz w:val="24"/>
          <w:szCs w:val="24"/>
        </w:rPr>
        <w:t xml:space="preserve"> panujące </w:t>
      </w:r>
      <w:r w:rsidR="00B23D72" w:rsidRPr="00B23D72">
        <w:rPr>
          <w:sz w:val="24"/>
          <w:szCs w:val="24"/>
        </w:rPr>
        <w:t xml:space="preserve">nastroje, wyniósł w czerwcu 9,6, osiągając tym samym wzrost o 1,3% względem miesiąca poprzedniego. Polacy wyżej niż w </w:t>
      </w:r>
      <w:r>
        <w:rPr>
          <w:sz w:val="24"/>
          <w:szCs w:val="24"/>
        </w:rPr>
        <w:t>ostatnim</w:t>
      </w:r>
      <w:r w:rsidRPr="00B23D72">
        <w:rPr>
          <w:sz w:val="24"/>
          <w:szCs w:val="24"/>
        </w:rPr>
        <w:t xml:space="preserve"> </w:t>
      </w:r>
      <w:r w:rsidR="00B23D72" w:rsidRPr="00B23D72">
        <w:rPr>
          <w:sz w:val="24"/>
          <w:szCs w:val="24"/>
        </w:rPr>
        <w:t xml:space="preserve">badaniu ocenili </w:t>
      </w:r>
      <w:r w:rsidR="00EA69F2">
        <w:rPr>
          <w:sz w:val="24"/>
          <w:szCs w:val="24"/>
        </w:rPr>
        <w:t>dzisiejszą</w:t>
      </w:r>
      <w:r w:rsidR="00B23D72" w:rsidRPr="00B23D72">
        <w:rPr>
          <w:sz w:val="24"/>
          <w:szCs w:val="24"/>
        </w:rPr>
        <w:t xml:space="preserve"> sytuację finansową zarówno państwa (o 2,1%), jak i swojego gospodarstwa domowego (o 3,1%). Wzrost o 2,6% zanotował też, plasując się na poziomie 7,5, Wyprzedzający wskaźnik ufności konsumenckiej (WWUK), opisujący tendencje oczekiwane w najbliższych miesiącach</w:t>
      </w:r>
      <w:r w:rsidR="00D02B4F">
        <w:rPr>
          <w:sz w:val="24"/>
          <w:szCs w:val="24"/>
        </w:rPr>
        <w:t xml:space="preserve">. </w:t>
      </w:r>
      <w:r w:rsidR="00B23D72" w:rsidRPr="00B23D72">
        <w:rPr>
          <w:sz w:val="24"/>
          <w:szCs w:val="24"/>
        </w:rPr>
        <w:t>Na wynik ten wpłynęł</w:t>
      </w:r>
      <w:r w:rsidR="00D02B4F">
        <w:rPr>
          <w:sz w:val="24"/>
          <w:szCs w:val="24"/>
        </w:rPr>
        <w:t>a</w:t>
      </w:r>
      <w:r w:rsidR="00B23D72" w:rsidRPr="00B23D72">
        <w:rPr>
          <w:sz w:val="24"/>
          <w:szCs w:val="24"/>
        </w:rPr>
        <w:t xml:space="preserve"> m.in. pozytywna ocena </w:t>
      </w:r>
      <w:r w:rsidR="00D02B4F">
        <w:rPr>
          <w:sz w:val="24"/>
          <w:szCs w:val="24"/>
        </w:rPr>
        <w:t>spodziewanych zmian w sytuacji gospodarstw domowych w ciągu najbliższych 12 miesięcy</w:t>
      </w:r>
      <w:r w:rsidR="00B23D72" w:rsidRPr="00B23D72">
        <w:rPr>
          <w:sz w:val="24"/>
          <w:szCs w:val="24"/>
        </w:rPr>
        <w:t xml:space="preserve">. Wzrost wskaźników to ważna informacja </w:t>
      </w:r>
      <w:r w:rsidR="0061250E">
        <w:rPr>
          <w:sz w:val="24"/>
          <w:szCs w:val="24"/>
        </w:rPr>
        <w:t xml:space="preserve">świadcząca o dobrej passie </w:t>
      </w:r>
      <w:r w:rsidR="00BA0AEF">
        <w:rPr>
          <w:sz w:val="24"/>
          <w:szCs w:val="24"/>
        </w:rPr>
        <w:t>i sprzyjającej koniunkturze na</w:t>
      </w:r>
      <w:r w:rsidR="0061250E">
        <w:rPr>
          <w:sz w:val="24"/>
          <w:szCs w:val="24"/>
        </w:rPr>
        <w:t xml:space="preserve"> </w:t>
      </w:r>
      <w:r w:rsidR="00B23D72" w:rsidRPr="00B23D72">
        <w:rPr>
          <w:sz w:val="24"/>
          <w:szCs w:val="24"/>
        </w:rPr>
        <w:t>rynku</w:t>
      </w:r>
      <w:r w:rsidR="00BA0AEF">
        <w:rPr>
          <w:sz w:val="24"/>
          <w:szCs w:val="24"/>
        </w:rPr>
        <w:t xml:space="preserve"> – </w:t>
      </w:r>
      <w:r w:rsidR="00B23D72" w:rsidRPr="00B23D72">
        <w:rPr>
          <w:sz w:val="24"/>
          <w:szCs w:val="24"/>
        </w:rPr>
        <w:t>szczególnie analizując to, jakie wartości przyjmował</w:t>
      </w:r>
      <w:r w:rsidR="00E77996">
        <w:rPr>
          <w:sz w:val="24"/>
          <w:szCs w:val="24"/>
        </w:rPr>
        <w:t>y</w:t>
      </w:r>
      <w:r w:rsidR="00B23D72" w:rsidRPr="00B23D72">
        <w:rPr>
          <w:sz w:val="24"/>
          <w:szCs w:val="24"/>
        </w:rPr>
        <w:t xml:space="preserve"> w latach poprzednich. Do 2016 roku był</w:t>
      </w:r>
      <w:r w:rsidR="00E77996">
        <w:rPr>
          <w:sz w:val="24"/>
          <w:szCs w:val="24"/>
        </w:rPr>
        <w:t>y</w:t>
      </w:r>
      <w:r w:rsidR="00B23D72" w:rsidRPr="00B23D72">
        <w:rPr>
          <w:sz w:val="24"/>
          <w:szCs w:val="24"/>
        </w:rPr>
        <w:t xml:space="preserve"> on</w:t>
      </w:r>
      <w:r w:rsidR="00E77996">
        <w:rPr>
          <w:sz w:val="24"/>
          <w:szCs w:val="24"/>
        </w:rPr>
        <w:t>e</w:t>
      </w:r>
      <w:r w:rsidR="00B23D72" w:rsidRPr="00B23D72">
        <w:rPr>
          <w:sz w:val="24"/>
          <w:szCs w:val="24"/>
        </w:rPr>
        <w:t xml:space="preserve"> ujemn</w:t>
      </w:r>
      <w:r w:rsidR="00BA0AEF">
        <w:rPr>
          <w:sz w:val="24"/>
          <w:szCs w:val="24"/>
        </w:rPr>
        <w:t>e</w:t>
      </w:r>
      <w:r w:rsidR="00B23D72" w:rsidRPr="00B23D72">
        <w:rPr>
          <w:sz w:val="24"/>
          <w:szCs w:val="24"/>
        </w:rPr>
        <w:t>, obecnie pozostaj</w:t>
      </w:r>
      <w:r w:rsidR="00E77996">
        <w:rPr>
          <w:sz w:val="24"/>
          <w:szCs w:val="24"/>
        </w:rPr>
        <w:t>ą</w:t>
      </w:r>
      <w:r w:rsidR="00B23D72" w:rsidRPr="00B23D72">
        <w:rPr>
          <w:sz w:val="24"/>
          <w:szCs w:val="24"/>
        </w:rPr>
        <w:t xml:space="preserve"> zaś w tendencji wzrostowej. - </w:t>
      </w:r>
      <w:r w:rsidR="00B23D72" w:rsidRPr="0076188C">
        <w:rPr>
          <w:i/>
          <w:sz w:val="24"/>
          <w:szCs w:val="24"/>
        </w:rPr>
        <w:t xml:space="preserve">Zmiana nastawienia konsumentów jest </w:t>
      </w:r>
      <w:r>
        <w:rPr>
          <w:i/>
          <w:sz w:val="24"/>
          <w:szCs w:val="24"/>
        </w:rPr>
        <w:t>miarą</w:t>
      </w:r>
      <w:r w:rsidR="00B23D72" w:rsidRPr="007618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ożywienia</w:t>
      </w:r>
      <w:r w:rsidRPr="0076188C">
        <w:rPr>
          <w:i/>
          <w:sz w:val="24"/>
          <w:szCs w:val="24"/>
        </w:rPr>
        <w:t xml:space="preserve"> </w:t>
      </w:r>
      <w:r w:rsidR="00B23D72" w:rsidRPr="0076188C">
        <w:rPr>
          <w:i/>
          <w:sz w:val="24"/>
          <w:szCs w:val="24"/>
        </w:rPr>
        <w:t>całej gospodarki. Jeśli kupujący patrzą w przyszłość optymistycznie, oznacza to, że rynek się rozwija. To dobra wiadomość dla producentów i sygnał świadczący o tym, że w najbliższej przyszłości czekają nas pozytywne zmiany</w:t>
      </w:r>
      <w:r w:rsidR="00B23D72" w:rsidRPr="00B23D72">
        <w:rPr>
          <w:sz w:val="24"/>
          <w:szCs w:val="24"/>
        </w:rPr>
        <w:t xml:space="preserve"> - mówi Stephane Tikhomiroff, dyrektor generalny Perfetti Van Melle Polska.</w:t>
      </w:r>
    </w:p>
    <w:p w14:paraId="72A12116" w14:textId="77777777" w:rsidR="00B23D72" w:rsidRPr="00B23D72" w:rsidRDefault="00B23D72" w:rsidP="00B23D72">
      <w:pPr>
        <w:jc w:val="both"/>
        <w:rPr>
          <w:b/>
          <w:sz w:val="24"/>
          <w:szCs w:val="24"/>
        </w:rPr>
      </w:pPr>
      <w:r w:rsidRPr="00B23D72">
        <w:rPr>
          <w:b/>
          <w:sz w:val="24"/>
          <w:szCs w:val="24"/>
        </w:rPr>
        <w:t>Wskaźniki rosną, sytuacja się zmienia</w:t>
      </w:r>
    </w:p>
    <w:p w14:paraId="4A8769F6" w14:textId="7CA836D7" w:rsidR="00757C3A" w:rsidRPr="007C35AE" w:rsidRDefault="00B23D72" w:rsidP="00B23D72">
      <w:pPr>
        <w:jc w:val="both"/>
        <w:rPr>
          <w:sz w:val="24"/>
          <w:szCs w:val="24"/>
        </w:rPr>
      </w:pPr>
      <w:r w:rsidRPr="00B23D72">
        <w:rPr>
          <w:sz w:val="24"/>
          <w:szCs w:val="24"/>
        </w:rPr>
        <w:t>W 2018</w:t>
      </w:r>
      <w:r w:rsidR="00E568FC">
        <w:rPr>
          <w:sz w:val="24"/>
          <w:szCs w:val="24"/>
        </w:rPr>
        <w:t xml:space="preserve"> r.</w:t>
      </w:r>
      <w:r w:rsidRPr="00B23D72">
        <w:rPr>
          <w:sz w:val="24"/>
          <w:szCs w:val="24"/>
        </w:rPr>
        <w:t xml:space="preserve"> nastąpiła ogólna poprawa sytuacji materialnej gospodarstw domowych w Polsce, chociaż skala zmian okazała się być mniejsza niż przed rokiem. Polacy osiągali wyższe dochody, i pomimo przysp</w:t>
      </w:r>
      <w:r w:rsidR="00E568FC">
        <w:rPr>
          <w:sz w:val="24"/>
          <w:szCs w:val="24"/>
        </w:rPr>
        <w:t>ieszenia dynamiki rynku oraz</w:t>
      </w:r>
      <w:r w:rsidRPr="00B23D72">
        <w:rPr>
          <w:sz w:val="24"/>
          <w:szCs w:val="24"/>
        </w:rPr>
        <w:t xml:space="preserve"> widocznego wzrostu cen, zanotowano skok siły nabywczej. Jak wynika z opublikowanego w czerwcu bieżącego roku raportu GUS</w:t>
      </w:r>
      <w:r>
        <w:rPr>
          <w:rStyle w:val="Odwoanieprzypisudolnego"/>
          <w:sz w:val="24"/>
          <w:szCs w:val="24"/>
        </w:rPr>
        <w:footnoteReference w:id="2"/>
      </w:r>
      <w:r w:rsidRPr="00B23D72">
        <w:rPr>
          <w:sz w:val="24"/>
          <w:szCs w:val="24"/>
        </w:rPr>
        <w:t xml:space="preserve">, badającego kondycję handlu, stale zyskuje rynek detalu, który w maju 2019 r. osiągnął wynik wyższy o ponad 5% niż przed rokiem. Największy wzrost zaobserwowano w przedsiębiorstwach prowadzących sprzedaż detaliczną w niewyspecjalizowanych sklepach oraz w placówkach handlujących pojazdami samochodowymi, motocyklami i częściami. </w:t>
      </w:r>
      <w:r w:rsidRPr="00B23D72">
        <w:rPr>
          <w:sz w:val="24"/>
          <w:szCs w:val="24"/>
        </w:rPr>
        <w:lastRenderedPageBreak/>
        <w:t>Zwyżkę, choć mniejszą, zanotowały także podmioty oferujące meble, sprzęty RTV i AGD, a także kosmetyki</w:t>
      </w:r>
      <w:r w:rsidR="00AD4ADE">
        <w:rPr>
          <w:sz w:val="24"/>
          <w:szCs w:val="24"/>
        </w:rPr>
        <w:t>,</w:t>
      </w:r>
      <w:r w:rsidRPr="00B23D72">
        <w:rPr>
          <w:sz w:val="24"/>
          <w:szCs w:val="24"/>
        </w:rPr>
        <w:t xml:space="preserve"> czy farmaceutyki. Niewielki spadek zaliczyli sprzedawcy ubrań oraz odzieży.</w:t>
      </w:r>
    </w:p>
    <w:sectPr w:rsidR="00757C3A" w:rsidRPr="007C3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55DD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55DD54" w16cid:durableId="20A903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44D8D" w14:textId="77777777" w:rsidR="00A8078C" w:rsidRDefault="00A8078C" w:rsidP="00E97BD3">
      <w:pPr>
        <w:spacing w:after="0" w:line="240" w:lineRule="auto"/>
      </w:pPr>
      <w:r>
        <w:separator/>
      </w:r>
    </w:p>
  </w:endnote>
  <w:endnote w:type="continuationSeparator" w:id="0">
    <w:p w14:paraId="3CB1453E" w14:textId="77777777" w:rsidR="00A8078C" w:rsidRDefault="00A8078C" w:rsidP="00E9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591D7" w14:textId="77777777" w:rsidR="00A8078C" w:rsidRDefault="00A8078C" w:rsidP="00E97BD3">
      <w:pPr>
        <w:spacing w:after="0" w:line="240" w:lineRule="auto"/>
      </w:pPr>
      <w:r>
        <w:separator/>
      </w:r>
    </w:p>
  </w:footnote>
  <w:footnote w:type="continuationSeparator" w:id="0">
    <w:p w14:paraId="39CD3FCC" w14:textId="77777777" w:rsidR="00A8078C" w:rsidRDefault="00A8078C" w:rsidP="00E97BD3">
      <w:pPr>
        <w:spacing w:after="0" w:line="240" w:lineRule="auto"/>
      </w:pPr>
      <w:r>
        <w:continuationSeparator/>
      </w:r>
    </w:p>
  </w:footnote>
  <w:footnote w:id="1">
    <w:p w14:paraId="10289EF2" w14:textId="0EBBBAC4" w:rsidR="00B23D72" w:rsidRDefault="00B23D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https://stat.gov.pl/obszary-tematyczne/koniunktura/koniunktura/koniunktura-konsumencka-czerwiec-2019-roku,1,76.html</w:t>
        </w:r>
      </w:hyperlink>
    </w:p>
    <w:p w14:paraId="52F89910" w14:textId="77777777" w:rsidR="00B23D72" w:rsidRDefault="00B23D72">
      <w:pPr>
        <w:pStyle w:val="Tekstprzypisudolnego"/>
      </w:pPr>
    </w:p>
  </w:footnote>
  <w:footnote w:id="2">
    <w:p w14:paraId="0BD23271" w14:textId="0579FE9B" w:rsidR="00B23D72" w:rsidRDefault="00B23D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https://stat.gov.pl/obszary-tematyczne/ceny-handel/handel/dynamika-sprzedazy-detalicznej-w-maju-2019-roku,14,53.html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6F6B" w14:textId="77777777" w:rsidR="00E97BD3" w:rsidRDefault="00E97B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49806" wp14:editId="3F58FF83">
          <wp:simplePos x="0" y="0"/>
          <wp:positionH relativeFrom="column">
            <wp:posOffset>4622165</wp:posOffset>
          </wp:positionH>
          <wp:positionV relativeFrom="paragraph">
            <wp:posOffset>-411480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, Zalewska, Iwona">
    <w15:presenceInfo w15:providerId="AD" w15:userId="S-1-5-21-89200683-1962229324-1606240830-6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F"/>
    <w:rsid w:val="000025AE"/>
    <w:rsid w:val="00005B58"/>
    <w:rsid w:val="000071DA"/>
    <w:rsid w:val="0005525C"/>
    <w:rsid w:val="00064D10"/>
    <w:rsid w:val="00070706"/>
    <w:rsid w:val="00085F5A"/>
    <w:rsid w:val="000A2901"/>
    <w:rsid w:val="000A65D0"/>
    <w:rsid w:val="000A712A"/>
    <w:rsid w:val="000D4A78"/>
    <w:rsid w:val="000D4F60"/>
    <w:rsid w:val="000E6D81"/>
    <w:rsid w:val="000F41FB"/>
    <w:rsid w:val="001229F1"/>
    <w:rsid w:val="00123CED"/>
    <w:rsid w:val="00125501"/>
    <w:rsid w:val="00127A08"/>
    <w:rsid w:val="00135FC0"/>
    <w:rsid w:val="00142912"/>
    <w:rsid w:val="00155393"/>
    <w:rsid w:val="00164197"/>
    <w:rsid w:val="00167B42"/>
    <w:rsid w:val="00175C67"/>
    <w:rsid w:val="001851AD"/>
    <w:rsid w:val="0018540B"/>
    <w:rsid w:val="00185919"/>
    <w:rsid w:val="001A05B8"/>
    <w:rsid w:val="001E44B1"/>
    <w:rsid w:val="001F0521"/>
    <w:rsid w:val="001F0C73"/>
    <w:rsid w:val="001F3C95"/>
    <w:rsid w:val="00200650"/>
    <w:rsid w:val="00206D96"/>
    <w:rsid w:val="00212B2C"/>
    <w:rsid w:val="00225B80"/>
    <w:rsid w:val="00226F11"/>
    <w:rsid w:val="00227658"/>
    <w:rsid w:val="00253F18"/>
    <w:rsid w:val="00262911"/>
    <w:rsid w:val="00267C79"/>
    <w:rsid w:val="00270715"/>
    <w:rsid w:val="00273975"/>
    <w:rsid w:val="00284C6E"/>
    <w:rsid w:val="00293B59"/>
    <w:rsid w:val="00295A70"/>
    <w:rsid w:val="00296942"/>
    <w:rsid w:val="00297F60"/>
    <w:rsid w:val="002A0E23"/>
    <w:rsid w:val="002C7C6E"/>
    <w:rsid w:val="00305D93"/>
    <w:rsid w:val="00311C1C"/>
    <w:rsid w:val="00317708"/>
    <w:rsid w:val="00347C3F"/>
    <w:rsid w:val="003544FF"/>
    <w:rsid w:val="00371672"/>
    <w:rsid w:val="00383E2D"/>
    <w:rsid w:val="00386778"/>
    <w:rsid w:val="00386883"/>
    <w:rsid w:val="003918A9"/>
    <w:rsid w:val="0039797A"/>
    <w:rsid w:val="003A4C61"/>
    <w:rsid w:val="003B672D"/>
    <w:rsid w:val="003D1A48"/>
    <w:rsid w:val="003E3DC1"/>
    <w:rsid w:val="003E4FCD"/>
    <w:rsid w:val="003F06AB"/>
    <w:rsid w:val="003F404B"/>
    <w:rsid w:val="00404BEC"/>
    <w:rsid w:val="00406106"/>
    <w:rsid w:val="00415284"/>
    <w:rsid w:val="004332B8"/>
    <w:rsid w:val="00453354"/>
    <w:rsid w:val="00456833"/>
    <w:rsid w:val="004642B0"/>
    <w:rsid w:val="004815B9"/>
    <w:rsid w:val="004A1F2A"/>
    <w:rsid w:val="004A2DBC"/>
    <w:rsid w:val="004B27A8"/>
    <w:rsid w:val="004C7855"/>
    <w:rsid w:val="004E6575"/>
    <w:rsid w:val="00500253"/>
    <w:rsid w:val="0050769B"/>
    <w:rsid w:val="00522A73"/>
    <w:rsid w:val="00525A4B"/>
    <w:rsid w:val="00532276"/>
    <w:rsid w:val="00532925"/>
    <w:rsid w:val="005366A2"/>
    <w:rsid w:val="00551883"/>
    <w:rsid w:val="00562278"/>
    <w:rsid w:val="00563B38"/>
    <w:rsid w:val="005821E7"/>
    <w:rsid w:val="00587329"/>
    <w:rsid w:val="005A2445"/>
    <w:rsid w:val="005B5329"/>
    <w:rsid w:val="005C68F4"/>
    <w:rsid w:val="005F2B9F"/>
    <w:rsid w:val="005F73CD"/>
    <w:rsid w:val="006028CE"/>
    <w:rsid w:val="00602C0B"/>
    <w:rsid w:val="0061250E"/>
    <w:rsid w:val="00633E3A"/>
    <w:rsid w:val="00657834"/>
    <w:rsid w:val="00661867"/>
    <w:rsid w:val="00691C86"/>
    <w:rsid w:val="00691CB5"/>
    <w:rsid w:val="00694D81"/>
    <w:rsid w:val="006B1C6D"/>
    <w:rsid w:val="006B6A99"/>
    <w:rsid w:val="006C0F20"/>
    <w:rsid w:val="006C200F"/>
    <w:rsid w:val="006C20FF"/>
    <w:rsid w:val="006C2409"/>
    <w:rsid w:val="006C334A"/>
    <w:rsid w:val="006C6E87"/>
    <w:rsid w:val="006E0207"/>
    <w:rsid w:val="006F46AC"/>
    <w:rsid w:val="00700C87"/>
    <w:rsid w:val="007117A9"/>
    <w:rsid w:val="00724FC6"/>
    <w:rsid w:val="00733B5D"/>
    <w:rsid w:val="007412FE"/>
    <w:rsid w:val="00757C3A"/>
    <w:rsid w:val="0076188C"/>
    <w:rsid w:val="00782099"/>
    <w:rsid w:val="00786D62"/>
    <w:rsid w:val="00791049"/>
    <w:rsid w:val="007B09EE"/>
    <w:rsid w:val="007C35AE"/>
    <w:rsid w:val="007C5B7D"/>
    <w:rsid w:val="007E4688"/>
    <w:rsid w:val="007E4D24"/>
    <w:rsid w:val="007E792E"/>
    <w:rsid w:val="008120DA"/>
    <w:rsid w:val="00816A26"/>
    <w:rsid w:val="00817EEB"/>
    <w:rsid w:val="00826CA2"/>
    <w:rsid w:val="00830DA3"/>
    <w:rsid w:val="00850641"/>
    <w:rsid w:val="008526CA"/>
    <w:rsid w:val="00857D46"/>
    <w:rsid w:val="008632F5"/>
    <w:rsid w:val="00875D20"/>
    <w:rsid w:val="008A5BAC"/>
    <w:rsid w:val="008B58CC"/>
    <w:rsid w:val="008D2A84"/>
    <w:rsid w:val="008D3626"/>
    <w:rsid w:val="008E3905"/>
    <w:rsid w:val="009332EB"/>
    <w:rsid w:val="009416DC"/>
    <w:rsid w:val="00950B32"/>
    <w:rsid w:val="00954335"/>
    <w:rsid w:val="00971AAD"/>
    <w:rsid w:val="009850EC"/>
    <w:rsid w:val="009912EB"/>
    <w:rsid w:val="00993949"/>
    <w:rsid w:val="009A1B7D"/>
    <w:rsid w:val="009C5CC2"/>
    <w:rsid w:val="009D759C"/>
    <w:rsid w:val="009E04D1"/>
    <w:rsid w:val="009F6161"/>
    <w:rsid w:val="009F6E99"/>
    <w:rsid w:val="009F751B"/>
    <w:rsid w:val="00A04812"/>
    <w:rsid w:val="00A04841"/>
    <w:rsid w:val="00A156D3"/>
    <w:rsid w:val="00A25BE6"/>
    <w:rsid w:val="00A27B94"/>
    <w:rsid w:val="00A451AA"/>
    <w:rsid w:val="00A542B8"/>
    <w:rsid w:val="00A64228"/>
    <w:rsid w:val="00A8078C"/>
    <w:rsid w:val="00A9551C"/>
    <w:rsid w:val="00AA1C47"/>
    <w:rsid w:val="00AB5CF7"/>
    <w:rsid w:val="00AC5DB4"/>
    <w:rsid w:val="00AD4ADE"/>
    <w:rsid w:val="00AE36FD"/>
    <w:rsid w:val="00AF2F99"/>
    <w:rsid w:val="00B01E34"/>
    <w:rsid w:val="00B06A5B"/>
    <w:rsid w:val="00B15E37"/>
    <w:rsid w:val="00B23D72"/>
    <w:rsid w:val="00B353B0"/>
    <w:rsid w:val="00B36D07"/>
    <w:rsid w:val="00B379E4"/>
    <w:rsid w:val="00B52D6D"/>
    <w:rsid w:val="00BA0AEF"/>
    <w:rsid w:val="00BA146E"/>
    <w:rsid w:val="00BB1127"/>
    <w:rsid w:val="00BB27B7"/>
    <w:rsid w:val="00BB2EC2"/>
    <w:rsid w:val="00BB427F"/>
    <w:rsid w:val="00BB7FB7"/>
    <w:rsid w:val="00BD5E4B"/>
    <w:rsid w:val="00BE5C82"/>
    <w:rsid w:val="00BE7087"/>
    <w:rsid w:val="00C110D3"/>
    <w:rsid w:val="00C145BE"/>
    <w:rsid w:val="00C160AF"/>
    <w:rsid w:val="00C319F7"/>
    <w:rsid w:val="00C51F4B"/>
    <w:rsid w:val="00C52BAE"/>
    <w:rsid w:val="00C712E6"/>
    <w:rsid w:val="00C7742E"/>
    <w:rsid w:val="00C809B2"/>
    <w:rsid w:val="00CB38ED"/>
    <w:rsid w:val="00CD6944"/>
    <w:rsid w:val="00CE0654"/>
    <w:rsid w:val="00CE3BC8"/>
    <w:rsid w:val="00D02B4F"/>
    <w:rsid w:val="00D127E8"/>
    <w:rsid w:val="00D21B31"/>
    <w:rsid w:val="00D31242"/>
    <w:rsid w:val="00D43196"/>
    <w:rsid w:val="00D45219"/>
    <w:rsid w:val="00D7080C"/>
    <w:rsid w:val="00D81ED6"/>
    <w:rsid w:val="00D83C76"/>
    <w:rsid w:val="00D84309"/>
    <w:rsid w:val="00D91D62"/>
    <w:rsid w:val="00D92642"/>
    <w:rsid w:val="00D9791F"/>
    <w:rsid w:val="00DB50FE"/>
    <w:rsid w:val="00DC098F"/>
    <w:rsid w:val="00DC3C33"/>
    <w:rsid w:val="00DE6451"/>
    <w:rsid w:val="00DF2AFE"/>
    <w:rsid w:val="00E1453D"/>
    <w:rsid w:val="00E34401"/>
    <w:rsid w:val="00E43BA2"/>
    <w:rsid w:val="00E525FF"/>
    <w:rsid w:val="00E568FC"/>
    <w:rsid w:val="00E770B4"/>
    <w:rsid w:val="00E77996"/>
    <w:rsid w:val="00E97BD3"/>
    <w:rsid w:val="00EA69F2"/>
    <w:rsid w:val="00EA731B"/>
    <w:rsid w:val="00EC49EF"/>
    <w:rsid w:val="00ED34B6"/>
    <w:rsid w:val="00EE5F28"/>
    <w:rsid w:val="00EE78D9"/>
    <w:rsid w:val="00EF20A7"/>
    <w:rsid w:val="00EF21F9"/>
    <w:rsid w:val="00F17D39"/>
    <w:rsid w:val="00F2213A"/>
    <w:rsid w:val="00F4405E"/>
    <w:rsid w:val="00F5598C"/>
    <w:rsid w:val="00F56D6E"/>
    <w:rsid w:val="00F631D2"/>
    <w:rsid w:val="00F87DF7"/>
    <w:rsid w:val="00FA6968"/>
    <w:rsid w:val="00FA7FE0"/>
    <w:rsid w:val="00FB4854"/>
    <w:rsid w:val="00FC0141"/>
    <w:rsid w:val="00FE3C34"/>
    <w:rsid w:val="00FE7E53"/>
    <w:rsid w:val="00FF1B67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79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D3"/>
  </w:style>
  <w:style w:type="paragraph" w:styleId="Stopka">
    <w:name w:val="footer"/>
    <w:basedOn w:val="Normalny"/>
    <w:link w:val="Stopka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0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20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C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C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1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E7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79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D3"/>
  </w:style>
  <w:style w:type="paragraph" w:styleId="Stopka">
    <w:name w:val="footer"/>
    <w:basedOn w:val="Normalny"/>
    <w:link w:val="StopkaZnak"/>
    <w:uiPriority w:val="99"/>
    <w:unhideWhenUsed/>
    <w:rsid w:val="00E9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0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20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C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C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1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E7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obszary-tematyczne/ceny-handel/handel/dynamika-sprzedazy-detalicznej-w-maju-2019-roku,14,53.html" TargetMode="External"/><Relationship Id="rId1" Type="http://schemas.openxmlformats.org/officeDocument/2006/relationships/hyperlink" Target="https://stat.gov.pl/obszary-tematyczne/koniunktura/koniunktura/koniunktura-konsumencka-czerwiec-2019-roku,1,7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2A8B-582C-47CD-AD9C-125D3106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Szczygieł</dc:creator>
  <cp:lastModifiedBy>Aleksandra Huścia</cp:lastModifiedBy>
  <cp:revision>2</cp:revision>
  <dcterms:created xsi:type="dcterms:W3CDTF">2019-07-09T07:45:00Z</dcterms:created>
  <dcterms:modified xsi:type="dcterms:W3CDTF">2019-07-09T07:45:00Z</dcterms:modified>
</cp:coreProperties>
</file>