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DB54" w14:textId="77777777" w:rsidR="000E1B7E" w:rsidRPr="005D521A" w:rsidRDefault="00FC18CD">
      <w:pPr>
        <w:rPr>
          <w:u w:val="single"/>
        </w:rPr>
      </w:pPr>
      <w:r>
        <w:rPr>
          <w:u w:val="single"/>
        </w:rPr>
        <w:t xml:space="preserve">Wykaz najważniejszych zmian </w:t>
      </w:r>
      <w:r w:rsidR="00CE652D">
        <w:rPr>
          <w:u w:val="single"/>
        </w:rPr>
        <w:t xml:space="preserve">oraz </w:t>
      </w:r>
      <w:r>
        <w:rPr>
          <w:u w:val="single"/>
        </w:rPr>
        <w:t xml:space="preserve"> </w:t>
      </w:r>
      <w:r w:rsidR="003B1311">
        <w:rPr>
          <w:u w:val="single"/>
        </w:rPr>
        <w:t xml:space="preserve">nowych funkcjonalności </w:t>
      </w:r>
      <w:r>
        <w:rPr>
          <w:u w:val="single"/>
        </w:rPr>
        <w:t xml:space="preserve">wprowadzonych </w:t>
      </w:r>
      <w:r w:rsidR="002D60C0" w:rsidRPr="005D521A">
        <w:rPr>
          <w:u w:val="single"/>
        </w:rPr>
        <w:t>w dokumencie: Standardy Wymiany Informacji ENERGA-OPERATOR SA ze Sprzedawcami i POB.</w:t>
      </w:r>
    </w:p>
    <w:p w14:paraId="2796CD61" w14:textId="29721403" w:rsidR="002D60C0" w:rsidRDefault="002D60C0" w:rsidP="00CE2A21">
      <w:pPr>
        <w:jc w:val="both"/>
      </w:pPr>
      <w:r>
        <w:t>Pla</w:t>
      </w:r>
      <w:r w:rsidR="0075408A">
        <w:t>nowana da</w:t>
      </w:r>
      <w:r w:rsidR="00B56039">
        <w:t>ta wprowadzeni</w:t>
      </w:r>
      <w:r w:rsidR="001444E8">
        <w:t xml:space="preserve">a zmian: </w:t>
      </w:r>
      <w:r w:rsidR="001048D6">
        <w:t>30</w:t>
      </w:r>
      <w:r w:rsidR="001444E8">
        <w:t xml:space="preserve"> maja 2023 </w:t>
      </w:r>
      <w:r>
        <w:t>roku.</w:t>
      </w:r>
      <w:r w:rsidR="007803D2">
        <w:t xml:space="preserve"> </w:t>
      </w:r>
    </w:p>
    <w:p w14:paraId="5F51CDFD" w14:textId="77777777" w:rsidR="001C003B" w:rsidRDefault="001C003B" w:rsidP="00CE2A21">
      <w:pPr>
        <w:jc w:val="both"/>
      </w:pPr>
      <w:r w:rsidRPr="00916BFE">
        <w:t>Zmian</w:t>
      </w:r>
      <w:r w:rsidR="001444E8">
        <w:t>y</w:t>
      </w:r>
      <w:r w:rsidRPr="00916BFE">
        <w:t xml:space="preserve"> </w:t>
      </w:r>
      <w:r w:rsidR="007B5398">
        <w:t>wynikają mię</w:t>
      </w:r>
      <w:r w:rsidR="001444E8">
        <w:t>dzy innymi</w:t>
      </w:r>
      <w:r w:rsidRPr="00916BFE">
        <w:t xml:space="preserve"> z wejścia w życie </w:t>
      </w:r>
      <w:r>
        <w:t xml:space="preserve">Ustawy </w:t>
      </w:r>
      <w:r w:rsidRPr="001C003B">
        <w:rPr>
          <w:iCs/>
        </w:rPr>
        <w:t>z dnia 17 grudnia 2021 r. o ochotniczych strażach pożarnych (Dz. U. z 2021 r., poz</w:t>
      </w:r>
      <w:r>
        <w:rPr>
          <w:iCs/>
        </w:rPr>
        <w:t xml:space="preserve">. 2490,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 zm.) oraz Taryfy</w:t>
      </w:r>
      <w:r w:rsidRPr="001C003B">
        <w:rPr>
          <w:iCs/>
        </w:rPr>
        <w:t xml:space="preserve"> ENERGA-OPERATOR S</w:t>
      </w:r>
      <w:r w:rsidR="001444E8">
        <w:rPr>
          <w:iCs/>
        </w:rPr>
        <w:t xml:space="preserve">A na 2023 rok, które polegały </w:t>
      </w:r>
      <w:r>
        <w:rPr>
          <w:iCs/>
        </w:rPr>
        <w:t xml:space="preserve">na wprowadzeniu nowej grupy taryfowej C11s dedykowanej dla jednostek ochotniczej straży pożarnej. </w:t>
      </w:r>
      <w:r w:rsidR="00E27151">
        <w:rPr>
          <w:iCs/>
        </w:rPr>
        <w:t xml:space="preserve">Pozostałe zmiany polegają na dodaniu atrybutów dedykowanych do wymiany danych dotyczących Klientów przyłączonych do sieci wysokich i średnich napięć (tzw. Wielkiego Odbioru). </w:t>
      </w:r>
      <w:r>
        <w:rPr>
          <w:iCs/>
        </w:rPr>
        <w:t xml:space="preserve">   </w:t>
      </w:r>
    </w:p>
    <w:p w14:paraId="60585540" w14:textId="77777777" w:rsidR="001423FB" w:rsidRDefault="00EC4E09" w:rsidP="004526D5">
      <w:pPr>
        <w:pStyle w:val="Akapitzlist"/>
        <w:numPr>
          <w:ilvl w:val="0"/>
          <w:numId w:val="1"/>
        </w:numPr>
        <w:jc w:val="both"/>
      </w:pPr>
      <w:r>
        <w:t xml:space="preserve">W komunikatach: </w:t>
      </w:r>
    </w:p>
    <w:p w14:paraId="37CB5922" w14:textId="77777777" w:rsidR="00EE3C26" w:rsidRDefault="00EE3C26" w:rsidP="004526D5">
      <w:pPr>
        <w:pStyle w:val="Akapitzlist"/>
        <w:numPr>
          <w:ilvl w:val="0"/>
          <w:numId w:val="2"/>
        </w:numPr>
        <w:jc w:val="both"/>
      </w:pPr>
      <w:r w:rsidRPr="00EE3C26">
        <w:rPr>
          <w:b/>
          <w:i/>
        </w:rPr>
        <w:t xml:space="preserve">7.1.1. </w:t>
      </w:r>
      <w:r w:rsidR="0010486C">
        <w:rPr>
          <w:b/>
          <w:i/>
        </w:rPr>
        <w:t>Zgłoszenie wprowadzenia</w:t>
      </w:r>
      <w:r w:rsidRPr="00EE3C26">
        <w:rPr>
          <w:b/>
          <w:i/>
        </w:rPr>
        <w:t xml:space="preserve"> Odbiorcy do pustego PPE</w:t>
      </w:r>
      <w:r w:rsidR="008A0019">
        <w:rPr>
          <w:b/>
          <w:i/>
        </w:rPr>
        <w:t xml:space="preserve"> </w:t>
      </w:r>
      <w:r w:rsidR="00E25942">
        <w:t>[</w:t>
      </w:r>
      <w:proofErr w:type="spellStart"/>
      <w:r w:rsidR="008A0019">
        <w:t>Customer</w:t>
      </w:r>
      <w:r w:rsidR="00A3625E">
        <w:t>M</w:t>
      </w:r>
      <w:r w:rsidR="008A0019">
        <w:t>ove</w:t>
      </w:r>
      <w:r w:rsidR="00A3625E">
        <w:t>I</w:t>
      </w:r>
      <w:r w:rsidR="008A0019">
        <w:t>n</w:t>
      </w:r>
      <w:proofErr w:type="spellEnd"/>
      <w:r w:rsidR="008A0019">
        <w:t>]</w:t>
      </w:r>
      <w:r>
        <w:t>,</w:t>
      </w:r>
    </w:p>
    <w:p w14:paraId="0F2741E0" w14:textId="77777777" w:rsidR="0032092A" w:rsidRDefault="0032092A" w:rsidP="0032092A">
      <w:pPr>
        <w:pStyle w:val="Akapitzlist"/>
        <w:numPr>
          <w:ilvl w:val="0"/>
          <w:numId w:val="2"/>
        </w:numPr>
        <w:jc w:val="both"/>
      </w:pPr>
      <w:r>
        <w:rPr>
          <w:b/>
          <w:i/>
        </w:rPr>
        <w:t>7.16</w:t>
      </w:r>
      <w:r w:rsidRPr="00AA5F92">
        <w:rPr>
          <w:b/>
          <w:i/>
        </w:rPr>
        <w:t>.1.</w:t>
      </w:r>
      <w:r>
        <w:rPr>
          <w:b/>
          <w:i/>
        </w:rPr>
        <w:t xml:space="preserve"> Zgłoszenie zmiany parametrów umowy kompleksowej</w:t>
      </w:r>
      <w:r w:rsidRPr="00AA5F92">
        <w:rPr>
          <w:b/>
          <w:i/>
        </w:rPr>
        <w:t xml:space="preserve"> </w:t>
      </w:r>
      <w:r>
        <w:t>[</w:t>
      </w:r>
      <w:proofErr w:type="spellStart"/>
      <w:r>
        <w:t>ChangeInComprehensiveAgreement</w:t>
      </w:r>
      <w:proofErr w:type="spellEnd"/>
      <w:r>
        <w:t xml:space="preserve">] </w:t>
      </w:r>
    </w:p>
    <w:p w14:paraId="7016DDA7" w14:textId="77777777" w:rsidR="00355129" w:rsidRPr="00EF3CBF" w:rsidRDefault="000A4CE0" w:rsidP="00EC4E09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t>d</w:t>
      </w:r>
      <w:r w:rsidR="0032092A">
        <w:rPr>
          <w:noProof/>
          <w:lang w:eastAsia="pl-PL"/>
        </w:rPr>
        <w:t>odano atrybut</w:t>
      </w:r>
      <w:r w:rsidR="00355129" w:rsidRPr="00EF3CBF">
        <w:rPr>
          <w:noProof/>
          <w:lang w:eastAsia="pl-PL"/>
        </w:rPr>
        <w:t xml:space="preserve">: </w:t>
      </w:r>
    </w:p>
    <w:p w14:paraId="3842411C" w14:textId="77777777" w:rsidR="002C0CAB" w:rsidRPr="000A4CE0" w:rsidRDefault="000A4CE0" w:rsidP="002C0CAB">
      <w:pPr>
        <w:pStyle w:val="Akapitzlist"/>
        <w:jc w:val="both"/>
        <w:rPr>
          <w:i/>
          <w:noProof/>
          <w:lang w:val="en-US" w:eastAsia="pl-PL"/>
        </w:rPr>
      </w:pPr>
      <w:r w:rsidRPr="000A4CE0">
        <w:rPr>
          <w:noProof/>
          <w:color w:val="00B050"/>
          <w:lang w:val="en-US" w:eastAsia="pl-PL"/>
        </w:rPr>
        <w:t xml:space="preserve">Oświadczenie Sprzedawcy do taryfy C11s </w:t>
      </w:r>
      <w:r w:rsidRPr="000A4CE0">
        <w:rPr>
          <w:noProof/>
          <w:lang w:val="en-US" w:eastAsia="pl-PL"/>
        </w:rPr>
        <w:t>–</w:t>
      </w:r>
      <w:r w:rsidR="002C0CAB" w:rsidRPr="002C0CAB">
        <w:t xml:space="preserve"> </w:t>
      </w:r>
      <w:r w:rsidR="002C0CAB" w:rsidRPr="002C0CAB">
        <w:rPr>
          <w:noProof/>
          <w:lang w:val="en-US" w:eastAsia="pl-PL"/>
        </w:rPr>
        <w:t xml:space="preserve">Potwierdzenie posiadania oświadczenia Klienta, że jest </w:t>
      </w:r>
      <w:r w:rsidR="002C0CAB">
        <w:rPr>
          <w:noProof/>
          <w:lang w:val="en-US" w:eastAsia="pl-PL"/>
        </w:rPr>
        <w:t>uprawniony do korzystania z odrę</w:t>
      </w:r>
      <w:r w:rsidR="00F80352">
        <w:rPr>
          <w:noProof/>
          <w:lang w:val="en-US" w:eastAsia="pl-PL"/>
        </w:rPr>
        <w:t>b</w:t>
      </w:r>
      <w:r w:rsidR="002C0CAB" w:rsidRPr="002C0CAB">
        <w:rPr>
          <w:noProof/>
          <w:lang w:val="en-US" w:eastAsia="pl-PL"/>
        </w:rPr>
        <w:t>nej grupy taryfowej przeznaczonej dla jednostek ochotniczych straży pożarnych</w:t>
      </w:r>
    </w:p>
    <w:p w14:paraId="60C8A94F" w14:textId="77777777" w:rsidR="00EC4E09" w:rsidRDefault="00480ABB" w:rsidP="004526D5">
      <w:pPr>
        <w:pStyle w:val="Akapitzlist"/>
        <w:numPr>
          <w:ilvl w:val="0"/>
          <w:numId w:val="1"/>
        </w:numPr>
        <w:jc w:val="both"/>
      </w:pPr>
      <w:r>
        <w:t>W komunikatach</w:t>
      </w:r>
      <w:r w:rsidR="00A110E0">
        <w:t>:</w:t>
      </w:r>
      <w:r>
        <w:t xml:space="preserve"> </w:t>
      </w:r>
    </w:p>
    <w:p w14:paraId="0D14293F" w14:textId="77777777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3F46A3">
        <w:rPr>
          <w:b/>
          <w:i/>
        </w:rPr>
        <w:t>7.3.1.  Zawiadomienie o zmianie danych PPE</w:t>
      </w:r>
      <w:r w:rsidR="006A5A84">
        <w:rPr>
          <w:b/>
          <w:i/>
        </w:rPr>
        <w:t xml:space="preserve"> </w:t>
      </w:r>
      <w:r w:rsidR="00E25942">
        <w:t>[</w:t>
      </w:r>
      <w:proofErr w:type="spellStart"/>
      <w:r w:rsidR="006A5A84">
        <w:t>NotifyMP</w:t>
      </w:r>
      <w:r w:rsidR="00D41ADE">
        <w:t>C</w:t>
      </w:r>
      <w:r w:rsidR="006A5A84">
        <w:t>haracteristics</w:t>
      </w:r>
      <w:proofErr w:type="spellEnd"/>
      <w:r w:rsidR="006A5A84">
        <w:t>]</w:t>
      </w:r>
      <w:r>
        <w:t>,</w:t>
      </w:r>
    </w:p>
    <w:p w14:paraId="597F1ECA" w14:textId="77777777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EE05E1">
        <w:rPr>
          <w:b/>
          <w:i/>
        </w:rPr>
        <w:t xml:space="preserve">7.4.3. </w:t>
      </w:r>
      <w:r w:rsidR="00EE05E1" w:rsidRPr="00EE05E1">
        <w:rPr>
          <w:b/>
          <w:i/>
        </w:rPr>
        <w:t>Udostępnione dane p</w:t>
      </w:r>
      <w:r w:rsidRPr="00EE05E1">
        <w:rPr>
          <w:b/>
          <w:i/>
        </w:rPr>
        <w:t>aszport</w:t>
      </w:r>
      <w:r w:rsidR="00EE05E1" w:rsidRPr="00EE05E1">
        <w:rPr>
          <w:b/>
          <w:i/>
        </w:rPr>
        <w:t>u PPE</w:t>
      </w:r>
      <w:r w:rsidR="000D0405">
        <w:rPr>
          <w:b/>
          <w:i/>
        </w:rPr>
        <w:t xml:space="preserve"> </w:t>
      </w:r>
      <w:r w:rsidR="00E25942">
        <w:t>[</w:t>
      </w:r>
      <w:proofErr w:type="spellStart"/>
      <w:r w:rsidR="00391B93">
        <w:t>UpfrontMP</w:t>
      </w:r>
      <w:r w:rsidR="00D41ADE">
        <w:t>C</w:t>
      </w:r>
      <w:r w:rsidR="00391B93">
        <w:t>haracteristics</w:t>
      </w:r>
      <w:proofErr w:type="spellEnd"/>
      <w:r w:rsidR="00391B93">
        <w:t>]</w:t>
      </w:r>
      <w:r>
        <w:t>,</w:t>
      </w:r>
    </w:p>
    <w:p w14:paraId="7CCD2177" w14:textId="77777777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EE05E1">
        <w:rPr>
          <w:b/>
          <w:i/>
        </w:rPr>
        <w:t>7.5.3. Udostępnione dane PPE</w:t>
      </w:r>
      <w:r w:rsidR="000D0405">
        <w:rPr>
          <w:b/>
          <w:i/>
        </w:rPr>
        <w:t xml:space="preserve"> </w:t>
      </w:r>
      <w:r w:rsidR="00E25942">
        <w:t>[</w:t>
      </w:r>
      <w:proofErr w:type="spellStart"/>
      <w:r w:rsidR="00391B93">
        <w:t>MP</w:t>
      </w:r>
      <w:r w:rsidR="00D41ADE">
        <w:t>C</w:t>
      </w:r>
      <w:r w:rsidR="00391B93">
        <w:t>haracteristics</w:t>
      </w:r>
      <w:proofErr w:type="spellEnd"/>
      <w:r w:rsidR="00391B93">
        <w:t>]</w:t>
      </w:r>
      <w:r>
        <w:t>,</w:t>
      </w:r>
    </w:p>
    <w:p w14:paraId="6489DC9F" w14:textId="77777777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EE05E1">
        <w:rPr>
          <w:b/>
          <w:i/>
        </w:rPr>
        <w:t>7.23.1. Uruchomienie sprzedaży rezerwowej</w:t>
      </w:r>
      <w:r w:rsidR="00E25942">
        <w:t xml:space="preserve"> [</w:t>
      </w:r>
      <w:proofErr w:type="spellStart"/>
      <w:r w:rsidR="00391B93">
        <w:t>Notify</w:t>
      </w:r>
      <w:r w:rsidR="00D41ADE">
        <w:t>R</w:t>
      </w:r>
      <w:r w:rsidR="00391B93">
        <w:t>eserve</w:t>
      </w:r>
      <w:r w:rsidR="00D41ADE">
        <w:t>S</w:t>
      </w:r>
      <w:r w:rsidR="00391B93">
        <w:t>upply</w:t>
      </w:r>
      <w:proofErr w:type="spellEnd"/>
      <w:r w:rsidR="00391B93">
        <w:t>]</w:t>
      </w:r>
      <w:r>
        <w:t>,</w:t>
      </w:r>
    </w:p>
    <w:p w14:paraId="17E1AC7C" w14:textId="77777777" w:rsidR="00B811B8" w:rsidRDefault="00B811B8" w:rsidP="004526D5">
      <w:pPr>
        <w:pStyle w:val="Akapitzlist"/>
        <w:numPr>
          <w:ilvl w:val="0"/>
          <w:numId w:val="3"/>
        </w:numPr>
        <w:jc w:val="both"/>
      </w:pPr>
      <w:r w:rsidRPr="00EE05E1">
        <w:rPr>
          <w:b/>
          <w:i/>
        </w:rPr>
        <w:t>7.23.2. Uruchomienie sprzedaży z urzędu</w:t>
      </w:r>
      <w:r w:rsidR="00E25942">
        <w:t xml:space="preserve"> [</w:t>
      </w:r>
      <w:proofErr w:type="spellStart"/>
      <w:r w:rsidR="00391B93">
        <w:t>Notify</w:t>
      </w:r>
      <w:r w:rsidR="00D41ADE">
        <w:t>S</w:t>
      </w:r>
      <w:r w:rsidR="00391B93">
        <w:t>upplyof</w:t>
      </w:r>
      <w:r w:rsidR="00D41ADE">
        <w:t>L</w:t>
      </w:r>
      <w:r w:rsidR="00391B93">
        <w:t>ast</w:t>
      </w:r>
      <w:r w:rsidR="00D41ADE">
        <w:t>R</w:t>
      </w:r>
      <w:r w:rsidR="00391B93">
        <w:t>esort</w:t>
      </w:r>
      <w:proofErr w:type="spellEnd"/>
      <w:r w:rsidR="00391B93">
        <w:t>]</w:t>
      </w:r>
      <w:r>
        <w:t>,</w:t>
      </w:r>
    </w:p>
    <w:p w14:paraId="47A2DA07" w14:textId="77777777" w:rsidR="00B32F0A" w:rsidRDefault="0032092A" w:rsidP="0032092A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t>rozszerzono słownik dla atrybutu</w:t>
      </w:r>
      <w:r w:rsidR="00AA5F92">
        <w:rPr>
          <w:noProof/>
          <w:lang w:eastAsia="pl-PL"/>
        </w:rPr>
        <w:t xml:space="preserve"> </w:t>
      </w:r>
      <w:r w:rsidRPr="0032092A">
        <w:rPr>
          <w:noProof/>
          <w:color w:val="00B050"/>
          <w:lang w:eastAsia="pl-PL"/>
        </w:rPr>
        <w:t>Charakter odbioru</w:t>
      </w:r>
      <w:r w:rsidR="00B32F0A" w:rsidRPr="0032092A">
        <w:rPr>
          <w:noProof/>
          <w:color w:val="00B050"/>
          <w:lang w:eastAsia="pl-PL"/>
        </w:rPr>
        <w:t xml:space="preserve"> </w:t>
      </w:r>
      <w:r w:rsidRPr="0032092A">
        <w:rPr>
          <w:noProof/>
          <w:lang w:eastAsia="pl-PL"/>
        </w:rPr>
        <w:t>o wartość</w:t>
      </w:r>
      <w:r w:rsidR="00B32F0A" w:rsidRPr="0032092A">
        <w:rPr>
          <w:noProof/>
          <w:lang w:eastAsia="pl-PL"/>
        </w:rPr>
        <w:t>:</w:t>
      </w:r>
    </w:p>
    <w:p w14:paraId="4D93153C" w14:textId="77777777" w:rsidR="00B32F0A" w:rsidRDefault="00A5109C" w:rsidP="002250B2">
      <w:pPr>
        <w:pStyle w:val="Akapitzlist"/>
        <w:ind w:firstLine="696"/>
        <w:jc w:val="both"/>
        <w:rPr>
          <w:rFonts w:cstheme="minorHAnsi"/>
          <w:i/>
          <w:noProof/>
          <w:color w:val="7030A0"/>
        </w:rPr>
      </w:pPr>
      <w:r w:rsidRPr="00204EB7">
        <w:rPr>
          <w:rFonts w:eastAsia="Times New Roman" w:cs="Calibri"/>
          <w:color w:val="7030A0"/>
          <w:lang w:eastAsia="pl-PL"/>
        </w:rPr>
        <w:t xml:space="preserve">OSP – jednostka </w:t>
      </w:r>
      <w:r w:rsidR="00850E81">
        <w:rPr>
          <w:rFonts w:eastAsia="Times New Roman" w:cs="Calibri"/>
          <w:color w:val="7030A0"/>
          <w:lang w:eastAsia="pl-PL"/>
        </w:rPr>
        <w:t>ochrony przeciwpożarowej (OSP)</w:t>
      </w:r>
      <w:r w:rsidR="009346B8" w:rsidRPr="00204EB7">
        <w:rPr>
          <w:rFonts w:cstheme="minorHAnsi"/>
          <w:i/>
          <w:noProof/>
          <w:color w:val="7030A0"/>
        </w:rPr>
        <w:t>,</w:t>
      </w:r>
    </w:p>
    <w:p w14:paraId="1EA27EB5" w14:textId="77777777" w:rsidR="00364660" w:rsidRDefault="00364660" w:rsidP="00364660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t>r</w:t>
      </w:r>
      <w:r w:rsidRPr="00364660">
        <w:rPr>
          <w:noProof/>
          <w:lang w:eastAsia="pl-PL"/>
        </w:rPr>
        <w:t>ozszerzono słownik dla atrybutu</w:t>
      </w:r>
      <w:r>
        <w:rPr>
          <w:noProof/>
          <w:lang w:eastAsia="pl-PL"/>
        </w:rPr>
        <w:t xml:space="preserve"> </w:t>
      </w:r>
      <w:r w:rsidRPr="00364660">
        <w:rPr>
          <w:noProof/>
          <w:color w:val="00B050"/>
          <w:lang w:eastAsia="pl-PL"/>
        </w:rPr>
        <w:t xml:space="preserve">Typ produktu </w:t>
      </w:r>
      <w:r>
        <w:rPr>
          <w:noProof/>
          <w:lang w:eastAsia="pl-PL"/>
        </w:rPr>
        <w:t>o wartość:</w:t>
      </w:r>
    </w:p>
    <w:p w14:paraId="5AE3AC69" w14:textId="77777777" w:rsidR="00364660" w:rsidRDefault="00364660" w:rsidP="00364660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364660">
        <w:rPr>
          <w:rFonts w:eastAsia="Times New Roman" w:cs="Calibri"/>
          <w:color w:val="7030A0"/>
          <w:lang w:eastAsia="pl-PL"/>
        </w:rPr>
        <w:t xml:space="preserve">83.8 – straty mierzone </w:t>
      </w:r>
    </w:p>
    <w:p w14:paraId="6B5A1CFF" w14:textId="77777777" w:rsidR="00E15C84" w:rsidRDefault="00E15C84" w:rsidP="00C83F96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W sekcji 1.3 </w:t>
      </w:r>
      <w:r w:rsidR="00664AA5">
        <w:rPr>
          <w:noProof/>
          <w:lang w:eastAsia="pl-PL"/>
        </w:rPr>
        <w:t>Charakterystyki PPE</w:t>
      </w:r>
      <w:r>
        <w:rPr>
          <w:noProof/>
          <w:lang w:eastAsia="pl-PL"/>
        </w:rPr>
        <w:t xml:space="preserve"> dodano atrybut:</w:t>
      </w:r>
    </w:p>
    <w:p w14:paraId="7B174F34" w14:textId="1C80463C" w:rsidR="00E15C84" w:rsidRDefault="00E15C84" w:rsidP="007D4C74">
      <w:pPr>
        <w:pStyle w:val="Akapitzlist"/>
        <w:spacing w:after="0"/>
        <w:ind w:left="1418" w:hanging="2"/>
        <w:jc w:val="both"/>
        <w:rPr>
          <w:rFonts w:eastAsia="Times New Roman" w:cs="Calibri"/>
          <w:color w:val="7030A0"/>
          <w:lang w:eastAsia="pl-PL"/>
        </w:rPr>
      </w:pPr>
      <w:r w:rsidRPr="00E15C84">
        <w:rPr>
          <w:rFonts w:eastAsia="Times New Roman" w:cs="Calibri"/>
          <w:color w:val="7030A0"/>
          <w:lang w:eastAsia="pl-PL"/>
        </w:rPr>
        <w:t>Rozliczenie niestandardowe na PPE</w:t>
      </w:r>
      <w:r>
        <w:rPr>
          <w:rFonts w:eastAsia="Times New Roman" w:cs="Calibri"/>
          <w:color w:val="7030A0"/>
          <w:lang w:eastAsia="pl-PL"/>
        </w:rPr>
        <w:t xml:space="preserve"> – informujący o występowaniu rozliczenia niestandardowego na PPE</w:t>
      </w:r>
    </w:p>
    <w:p w14:paraId="36EB37DE" w14:textId="1B985D56" w:rsidR="007D4C74" w:rsidRPr="007D4C74" w:rsidRDefault="007D4C74" w:rsidP="007D4C74">
      <w:pPr>
        <w:spacing w:after="0"/>
        <w:ind w:left="709"/>
        <w:rPr>
          <w:rFonts w:cs="Times New Roman"/>
          <w:iCs/>
          <w:color w:val="1F497D"/>
        </w:rPr>
      </w:pPr>
      <w:r w:rsidRPr="007D4C74">
        <w:rPr>
          <w:rFonts w:cs="Times New Roman"/>
          <w:iCs/>
          <w:color w:val="1F497D"/>
        </w:rPr>
        <w:t xml:space="preserve">W przypadku otrzymania tego atrybutu Sprzedawca powinien zwrócić się do Operatora na adres: </w:t>
      </w:r>
      <w:hyperlink r:id="rId6" w:history="1">
        <w:r w:rsidRPr="007D4C74">
          <w:rPr>
            <w:rStyle w:val="Hipercze"/>
            <w:rFonts w:cs="Times New Roman"/>
            <w:iCs/>
          </w:rPr>
          <w:t>centrala@energa-operator.pl</w:t>
        </w:r>
      </w:hyperlink>
      <w:r w:rsidRPr="007D4C74">
        <w:rPr>
          <w:rFonts w:cs="Times New Roman"/>
          <w:iCs/>
          <w:color w:val="1F497D"/>
        </w:rPr>
        <w:t xml:space="preserve"> z zapytaniem o informacje szczegółowe w zakresie stosowanego algorytmu rozliczeniowego.</w:t>
      </w:r>
    </w:p>
    <w:p w14:paraId="484685BC" w14:textId="77777777" w:rsidR="00C83F96" w:rsidRDefault="00C83F96" w:rsidP="00C83F96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t>w</w:t>
      </w:r>
      <w:r w:rsidRPr="00C83F96">
        <w:rPr>
          <w:noProof/>
          <w:lang w:eastAsia="pl-PL"/>
        </w:rPr>
        <w:t xml:space="preserve"> sekcji </w:t>
      </w:r>
      <w:r w:rsidR="007D4752">
        <w:rPr>
          <w:noProof/>
          <w:lang w:eastAsia="pl-PL"/>
        </w:rPr>
        <w:t>1.5 Grupowanie PPE</w:t>
      </w:r>
      <w:r w:rsidR="00D00D80">
        <w:rPr>
          <w:noProof/>
          <w:lang w:eastAsia="pl-PL"/>
        </w:rPr>
        <w:t xml:space="preserve"> dodano atrybut:</w:t>
      </w:r>
    </w:p>
    <w:p w14:paraId="54856346" w14:textId="77777777" w:rsidR="00D00D80" w:rsidRPr="00D00D80" w:rsidRDefault="00D00D80" w:rsidP="00D00D80">
      <w:pPr>
        <w:pStyle w:val="Akapitzlist"/>
        <w:ind w:left="1418" w:hanging="2"/>
        <w:jc w:val="both"/>
        <w:rPr>
          <w:rFonts w:eastAsia="Times New Roman" w:cs="Calibri"/>
          <w:color w:val="7030A0"/>
          <w:lang w:eastAsia="pl-PL"/>
        </w:rPr>
      </w:pPr>
      <w:r w:rsidRPr="00D00D80">
        <w:rPr>
          <w:rFonts w:eastAsia="Times New Roman" w:cs="Calibri"/>
          <w:color w:val="7030A0"/>
          <w:lang w:eastAsia="pl-PL"/>
        </w:rPr>
        <w:t>Udział w kW – określający wielkość udziału danego PPE (w kilowatach) w instalacji wytwarzającej na potrzeby Prosumenta zbiorowego</w:t>
      </w:r>
    </w:p>
    <w:p w14:paraId="1C3E5670" w14:textId="77777777" w:rsidR="00F27B7A" w:rsidRDefault="00F27B7A" w:rsidP="009A7384">
      <w:pPr>
        <w:pStyle w:val="Akapitzlist"/>
        <w:numPr>
          <w:ilvl w:val="0"/>
          <w:numId w:val="1"/>
        </w:numPr>
        <w:jc w:val="both"/>
      </w:pPr>
      <w:r>
        <w:t xml:space="preserve">W komunikacie </w:t>
      </w:r>
      <w:r w:rsidRPr="0032092A">
        <w:rPr>
          <w:b/>
          <w:i/>
        </w:rPr>
        <w:t xml:space="preserve">7.19.1. Dane rozliczeniowe na potrzeby Sprzedawcy </w:t>
      </w:r>
      <w:r w:rsidRPr="00E25942">
        <w:t>[</w:t>
      </w:r>
      <w:proofErr w:type="spellStart"/>
      <w:r w:rsidRPr="00E25942">
        <w:t>Invoice</w:t>
      </w:r>
      <w:proofErr w:type="spellEnd"/>
      <w:r w:rsidRPr="00E25942">
        <w:t>]</w:t>
      </w:r>
      <w:r>
        <w:t>:</w:t>
      </w:r>
    </w:p>
    <w:p w14:paraId="1E86D0A5" w14:textId="77777777" w:rsidR="00F27B7A" w:rsidRDefault="00F27B7A" w:rsidP="00F27B7A">
      <w:pPr>
        <w:pStyle w:val="Akapitzlist"/>
        <w:numPr>
          <w:ilvl w:val="0"/>
          <w:numId w:val="11"/>
        </w:numPr>
        <w:jc w:val="both"/>
      </w:pPr>
      <w:r>
        <w:t xml:space="preserve">zaktualizowano słownik dla atrybutu </w:t>
      </w:r>
      <w:r w:rsidRPr="0032092A">
        <w:rPr>
          <w:color w:val="00B050"/>
        </w:rPr>
        <w:t xml:space="preserve">Grupa taryfowa </w:t>
      </w:r>
      <w:r>
        <w:t>w szablonie WSDL komunikatu – dodano pozycję C11s,</w:t>
      </w:r>
    </w:p>
    <w:p w14:paraId="34FF0822" w14:textId="77777777" w:rsidR="00F27B7A" w:rsidRDefault="00F27B7A" w:rsidP="00F27B7A">
      <w:pPr>
        <w:pStyle w:val="Akapitzlist"/>
        <w:numPr>
          <w:ilvl w:val="0"/>
          <w:numId w:val="11"/>
        </w:numPr>
        <w:jc w:val="both"/>
      </w:pPr>
      <w:r>
        <w:t xml:space="preserve">rozbudowano słownik dla atrybutu </w:t>
      </w:r>
      <w:r w:rsidRPr="00F27B7A">
        <w:rPr>
          <w:color w:val="00B050"/>
        </w:rPr>
        <w:t xml:space="preserve">Typ liczydła licznika </w:t>
      </w:r>
      <w:r>
        <w:t>w sekcji 1.2.1. o wartości:</w:t>
      </w:r>
    </w:p>
    <w:p w14:paraId="36E7D10D" w14:textId="77777777" w:rsidR="00F27B7A" w:rsidRPr="00F27B7A" w:rsidRDefault="00F27B7A" w:rsidP="00F27B7A">
      <w:pPr>
        <w:pStyle w:val="Akapitzlist"/>
        <w:numPr>
          <w:ilvl w:val="0"/>
          <w:numId w:val="12"/>
        </w:numPr>
        <w:jc w:val="both"/>
        <w:rPr>
          <w:color w:val="7030A0"/>
        </w:rPr>
      </w:pPr>
      <w:r w:rsidRPr="00F27B7A">
        <w:rPr>
          <w:color w:val="7030A0"/>
        </w:rPr>
        <w:t xml:space="preserve">87168670000U2H – straty mierzone napięciowe </w:t>
      </w:r>
    </w:p>
    <w:p w14:paraId="764BAB3F" w14:textId="77777777" w:rsidR="00F27B7A" w:rsidRPr="00F27B7A" w:rsidRDefault="00F27B7A" w:rsidP="00F27B7A">
      <w:pPr>
        <w:pStyle w:val="Akapitzlist"/>
        <w:numPr>
          <w:ilvl w:val="0"/>
          <w:numId w:val="12"/>
        </w:numPr>
        <w:jc w:val="both"/>
        <w:rPr>
          <w:color w:val="7030A0"/>
        </w:rPr>
      </w:pPr>
      <w:r w:rsidRPr="00F27B7A">
        <w:rPr>
          <w:color w:val="7030A0"/>
        </w:rPr>
        <w:t>87168670000I2H – straty mierzone prądowe</w:t>
      </w:r>
    </w:p>
    <w:p w14:paraId="4FF593AF" w14:textId="77777777" w:rsidR="00F27B7A" w:rsidRDefault="00F27B7A" w:rsidP="00F27B7A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dodano nowy atrybut </w:t>
      </w:r>
      <w:r w:rsidR="00786092" w:rsidRPr="00786092">
        <w:rPr>
          <w:color w:val="00B050"/>
        </w:rPr>
        <w:t xml:space="preserve">Rodzaj strat </w:t>
      </w:r>
      <w:r>
        <w:t xml:space="preserve">w sekcji 1.2.1. zawierający </w:t>
      </w:r>
      <w:r w:rsidR="00786092">
        <w:t>wartości</w:t>
      </w:r>
      <w:r w:rsidR="008C1F1F">
        <w:t xml:space="preserve"> (kody OBIS dla strat)</w:t>
      </w:r>
      <w:r>
        <w:t>:</w:t>
      </w:r>
    </w:p>
    <w:p w14:paraId="1B2F8DE6" w14:textId="77777777" w:rsidR="00876445" w:rsidRPr="00876445" w:rsidRDefault="00876445" w:rsidP="00876445">
      <w:pPr>
        <w:pStyle w:val="Akapitzlist"/>
        <w:numPr>
          <w:ilvl w:val="0"/>
          <w:numId w:val="12"/>
        </w:numPr>
        <w:jc w:val="both"/>
        <w:rPr>
          <w:color w:val="7030A0"/>
        </w:rPr>
      </w:pPr>
      <w:r w:rsidRPr="00876445">
        <w:rPr>
          <w:color w:val="7030A0"/>
        </w:rPr>
        <w:t>napięciowe pobór - 83.8.1</w:t>
      </w:r>
    </w:p>
    <w:p w14:paraId="0A63648F" w14:textId="77777777" w:rsidR="00876445" w:rsidRPr="00876445" w:rsidRDefault="00876445" w:rsidP="00876445">
      <w:pPr>
        <w:pStyle w:val="Akapitzlist"/>
        <w:numPr>
          <w:ilvl w:val="0"/>
          <w:numId w:val="12"/>
        </w:numPr>
        <w:jc w:val="both"/>
        <w:rPr>
          <w:color w:val="7030A0"/>
        </w:rPr>
      </w:pPr>
      <w:r w:rsidRPr="00876445">
        <w:rPr>
          <w:color w:val="7030A0"/>
        </w:rPr>
        <w:t>napięciowe oddanie - 83.8.2</w:t>
      </w:r>
    </w:p>
    <w:p w14:paraId="221577AD" w14:textId="77777777" w:rsidR="00876445" w:rsidRPr="00876445" w:rsidRDefault="00876445" w:rsidP="00876445">
      <w:pPr>
        <w:pStyle w:val="Akapitzlist"/>
        <w:numPr>
          <w:ilvl w:val="0"/>
          <w:numId w:val="12"/>
        </w:numPr>
        <w:jc w:val="both"/>
        <w:rPr>
          <w:color w:val="7030A0"/>
        </w:rPr>
      </w:pPr>
      <w:r w:rsidRPr="00876445">
        <w:rPr>
          <w:color w:val="7030A0"/>
        </w:rPr>
        <w:t xml:space="preserve">prądowe pobór - 83.8.4 </w:t>
      </w:r>
    </w:p>
    <w:p w14:paraId="2C9CE464" w14:textId="77777777" w:rsidR="00876445" w:rsidRPr="00876445" w:rsidRDefault="00876445" w:rsidP="00876445">
      <w:pPr>
        <w:pStyle w:val="Akapitzlist"/>
        <w:numPr>
          <w:ilvl w:val="0"/>
          <w:numId w:val="12"/>
        </w:numPr>
        <w:jc w:val="both"/>
        <w:rPr>
          <w:color w:val="7030A0"/>
        </w:rPr>
      </w:pPr>
      <w:r w:rsidRPr="00876445">
        <w:rPr>
          <w:color w:val="7030A0"/>
        </w:rPr>
        <w:t>prądowe oddanie - 83.8.5</w:t>
      </w:r>
    </w:p>
    <w:p w14:paraId="19F2A12E" w14:textId="77777777" w:rsidR="00F27B7A" w:rsidRDefault="00F27B7A" w:rsidP="00F27B7A">
      <w:pPr>
        <w:pStyle w:val="Akapitzlist"/>
        <w:ind w:left="1080"/>
        <w:jc w:val="both"/>
      </w:pPr>
    </w:p>
    <w:p w14:paraId="0C1E14D1" w14:textId="3B75D0B9" w:rsidR="00D41ADE" w:rsidRDefault="00664AA5" w:rsidP="009A7384">
      <w:pPr>
        <w:pStyle w:val="Akapitzlist"/>
        <w:numPr>
          <w:ilvl w:val="0"/>
          <w:numId w:val="1"/>
        </w:numPr>
        <w:jc w:val="both"/>
      </w:pPr>
      <w:r>
        <w:t>W komunikacie</w:t>
      </w:r>
      <w:r w:rsidR="00FC2DE2">
        <w:t xml:space="preserve"> </w:t>
      </w:r>
      <w:r w:rsidR="00007CD8" w:rsidRPr="00007CD8">
        <w:rPr>
          <w:b/>
          <w:i/>
        </w:rPr>
        <w:t xml:space="preserve">7.18.1. </w:t>
      </w:r>
      <w:r w:rsidR="00FC2DE2" w:rsidRPr="00007CD8">
        <w:rPr>
          <w:b/>
          <w:i/>
        </w:rPr>
        <w:t>Dane pomiarowe na potrzeby Sprzedawcy</w:t>
      </w:r>
      <w:r w:rsidR="00FC2DE2">
        <w:t xml:space="preserve"> </w:t>
      </w:r>
      <w:r w:rsidR="00007CD8">
        <w:t>[</w:t>
      </w:r>
      <w:proofErr w:type="spellStart"/>
      <w:r w:rsidR="00007CD8">
        <w:t>ValidatedData</w:t>
      </w:r>
      <w:r w:rsidR="00DD281D">
        <w:t>F</w:t>
      </w:r>
      <w:r w:rsidR="00007CD8">
        <w:t>orBilling</w:t>
      </w:r>
      <w:proofErr w:type="spellEnd"/>
      <w:r w:rsidR="00007CD8">
        <w:t xml:space="preserve">] </w:t>
      </w:r>
      <w:r w:rsidR="00FC2DE2">
        <w:t>wprowadzono zmiany:</w:t>
      </w:r>
    </w:p>
    <w:p w14:paraId="791144C1" w14:textId="77777777" w:rsidR="00FC2DE2" w:rsidRDefault="00FC2DE2" w:rsidP="00FC2DE2">
      <w:pPr>
        <w:pStyle w:val="Akapitzlist"/>
        <w:numPr>
          <w:ilvl w:val="0"/>
          <w:numId w:val="14"/>
        </w:numPr>
        <w:jc w:val="both"/>
      </w:pPr>
      <w:r>
        <w:t xml:space="preserve">rozszerzono słownik dla atrybutu 1.10.8.1.1. </w:t>
      </w:r>
      <w:r w:rsidRPr="00FC2DE2">
        <w:rPr>
          <w:color w:val="00B050"/>
        </w:rPr>
        <w:t xml:space="preserve">Kod produktu energetycznego </w:t>
      </w:r>
      <w:r>
        <w:t>o wartości:</w:t>
      </w:r>
    </w:p>
    <w:p w14:paraId="26878E1C" w14:textId="77777777" w:rsidR="00FC2DE2" w:rsidRPr="00FC2DE2" w:rsidRDefault="00FC2DE2" w:rsidP="00FC2DE2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FC2DE2">
        <w:rPr>
          <w:rFonts w:eastAsia="Times New Roman" w:cs="Calibri"/>
          <w:color w:val="7030A0"/>
          <w:lang w:eastAsia="pl-PL"/>
        </w:rPr>
        <w:t>87168670000I2H – straty mierzone prądowe</w:t>
      </w:r>
    </w:p>
    <w:p w14:paraId="39639486" w14:textId="77777777" w:rsidR="00FC2DE2" w:rsidRPr="00FC2DE2" w:rsidRDefault="00FC2DE2" w:rsidP="00FC2DE2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FC2DE2">
        <w:rPr>
          <w:rFonts w:eastAsia="Times New Roman" w:cs="Calibri"/>
          <w:color w:val="7030A0"/>
          <w:lang w:eastAsia="pl-PL"/>
        </w:rPr>
        <w:t>87168670000U2H – straty mierzone napięciowe</w:t>
      </w:r>
    </w:p>
    <w:p w14:paraId="3C45B60A" w14:textId="77777777" w:rsidR="00FC2DE2" w:rsidRDefault="00FC2DE2" w:rsidP="00FC2DE2">
      <w:pPr>
        <w:pStyle w:val="Akapitzlist"/>
        <w:numPr>
          <w:ilvl w:val="0"/>
          <w:numId w:val="14"/>
        </w:numPr>
        <w:jc w:val="both"/>
      </w:pPr>
      <w:r>
        <w:t>rozszerzono słownik</w:t>
      </w:r>
      <w:r w:rsidR="006E72A3">
        <w:t xml:space="preserve"> dla atrybutu 1.10.8.1.2. </w:t>
      </w:r>
      <w:r w:rsidR="006E72A3" w:rsidRPr="006E72A3">
        <w:rPr>
          <w:color w:val="00B050"/>
        </w:rPr>
        <w:t xml:space="preserve">Kod jednostki miary </w:t>
      </w:r>
      <w:r w:rsidR="006E72A3">
        <w:t>o wartości jednostek pomiaru strat z rejestrów licznika:</w:t>
      </w:r>
    </w:p>
    <w:p w14:paraId="596583E9" w14:textId="77777777" w:rsidR="006E72A3" w:rsidRPr="006E72A3" w:rsidRDefault="006E72A3" w:rsidP="006E72A3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proofErr w:type="spellStart"/>
      <w:r w:rsidRPr="006E72A3">
        <w:rPr>
          <w:rFonts w:eastAsia="Times New Roman" w:cs="Calibri"/>
          <w:color w:val="7030A0"/>
          <w:lang w:eastAsia="pl-PL"/>
        </w:rPr>
        <w:t>kVVh</w:t>
      </w:r>
      <w:proofErr w:type="spellEnd"/>
      <w:r w:rsidRPr="006E72A3">
        <w:rPr>
          <w:rFonts w:eastAsia="Times New Roman" w:cs="Calibri"/>
          <w:color w:val="7030A0"/>
          <w:lang w:eastAsia="pl-PL"/>
        </w:rPr>
        <w:t xml:space="preserve"> – kV</w:t>
      </w:r>
      <w:r>
        <w:rPr>
          <w:rFonts w:eastAsia="Times New Roman" w:cs="Calibri"/>
          <w:color w:val="7030A0"/>
          <w:vertAlign w:val="superscript"/>
          <w:lang w:eastAsia="pl-PL"/>
        </w:rPr>
        <w:t>2</w:t>
      </w:r>
      <w:r w:rsidRPr="006E72A3">
        <w:rPr>
          <w:rFonts w:eastAsia="Times New Roman" w:cs="Calibri"/>
          <w:color w:val="7030A0"/>
          <w:lang w:eastAsia="pl-PL"/>
        </w:rPr>
        <w:t>h</w:t>
      </w:r>
    </w:p>
    <w:p w14:paraId="2682592A" w14:textId="77777777" w:rsidR="006E72A3" w:rsidRPr="006E72A3" w:rsidRDefault="006E72A3" w:rsidP="006E72A3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proofErr w:type="spellStart"/>
      <w:r w:rsidRPr="006E72A3">
        <w:rPr>
          <w:rFonts w:eastAsia="Times New Roman" w:cs="Calibri"/>
          <w:color w:val="7030A0"/>
          <w:lang w:eastAsia="pl-PL"/>
        </w:rPr>
        <w:t>AAh</w:t>
      </w:r>
      <w:proofErr w:type="spellEnd"/>
      <w:r w:rsidRPr="006E72A3">
        <w:rPr>
          <w:rFonts w:eastAsia="Times New Roman" w:cs="Calibri"/>
          <w:color w:val="7030A0"/>
          <w:lang w:eastAsia="pl-PL"/>
        </w:rPr>
        <w:t xml:space="preserve"> – A</w:t>
      </w:r>
      <w:r>
        <w:rPr>
          <w:rFonts w:eastAsia="Times New Roman" w:cs="Calibri"/>
          <w:color w:val="7030A0"/>
          <w:vertAlign w:val="superscript"/>
          <w:lang w:eastAsia="pl-PL"/>
        </w:rPr>
        <w:t>2</w:t>
      </w:r>
      <w:r w:rsidRPr="006E72A3">
        <w:rPr>
          <w:rFonts w:eastAsia="Times New Roman" w:cs="Calibri"/>
          <w:color w:val="7030A0"/>
          <w:lang w:eastAsia="pl-PL"/>
        </w:rPr>
        <w:t>h</w:t>
      </w:r>
    </w:p>
    <w:p w14:paraId="71A359BA" w14:textId="77777777" w:rsidR="00FC2DE2" w:rsidRDefault="007D00BC" w:rsidP="007D00BC">
      <w:pPr>
        <w:pStyle w:val="Akapitzlist"/>
        <w:numPr>
          <w:ilvl w:val="0"/>
          <w:numId w:val="14"/>
        </w:numPr>
      </w:pPr>
      <w:r>
        <w:t xml:space="preserve">rozszerzono słownik dla atrybutu 1.10.8.1.3.1.2.3. </w:t>
      </w:r>
      <w:r w:rsidRPr="00016073">
        <w:rPr>
          <w:color w:val="00B050"/>
        </w:rPr>
        <w:t xml:space="preserve">Kod OBIS </w:t>
      </w:r>
      <w:r w:rsidR="002873A4" w:rsidRPr="002873A4">
        <w:t xml:space="preserve">(w sekcji Lista wskazań) </w:t>
      </w:r>
      <w:r>
        <w:t>o wartości:</w:t>
      </w:r>
    </w:p>
    <w:p w14:paraId="22B61AA0" w14:textId="77777777" w:rsidR="007D00BC" w:rsidRPr="00016073" w:rsidRDefault="007D00BC" w:rsidP="00016073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016073">
        <w:rPr>
          <w:rFonts w:eastAsia="Times New Roman" w:cs="Calibri"/>
          <w:color w:val="7030A0"/>
          <w:lang w:eastAsia="pl-PL"/>
        </w:rPr>
        <w:t>83.8.1</w:t>
      </w:r>
    </w:p>
    <w:p w14:paraId="3F282EE3" w14:textId="77777777" w:rsidR="007D00BC" w:rsidRPr="00016073" w:rsidRDefault="007D00BC" w:rsidP="00016073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016073">
        <w:rPr>
          <w:rFonts w:eastAsia="Times New Roman" w:cs="Calibri"/>
          <w:color w:val="7030A0"/>
          <w:lang w:eastAsia="pl-PL"/>
        </w:rPr>
        <w:t>83.8.2</w:t>
      </w:r>
    </w:p>
    <w:p w14:paraId="039B8E3D" w14:textId="77777777" w:rsidR="007D00BC" w:rsidRPr="00016073" w:rsidRDefault="007D00BC" w:rsidP="00016073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016073">
        <w:rPr>
          <w:rFonts w:eastAsia="Times New Roman" w:cs="Calibri"/>
          <w:color w:val="7030A0"/>
          <w:lang w:eastAsia="pl-PL"/>
        </w:rPr>
        <w:t>83.8.4</w:t>
      </w:r>
    </w:p>
    <w:p w14:paraId="01AC707D" w14:textId="77777777" w:rsidR="007D00BC" w:rsidRPr="00016073" w:rsidRDefault="007D00BC" w:rsidP="00016073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016073">
        <w:rPr>
          <w:rFonts w:eastAsia="Times New Roman" w:cs="Calibri"/>
          <w:color w:val="7030A0"/>
          <w:lang w:eastAsia="pl-PL"/>
        </w:rPr>
        <w:t>83.8.5</w:t>
      </w:r>
    </w:p>
    <w:p w14:paraId="4F6412F9" w14:textId="77777777" w:rsidR="006E72A3" w:rsidRDefault="00016073" w:rsidP="00FC2DE2">
      <w:pPr>
        <w:pStyle w:val="Akapitzlist"/>
        <w:numPr>
          <w:ilvl w:val="0"/>
          <w:numId w:val="14"/>
        </w:numPr>
        <w:jc w:val="both"/>
      </w:pPr>
      <w:r>
        <w:t xml:space="preserve">rozszerzono słownik dla atrybutu </w:t>
      </w:r>
      <w:r w:rsidR="00DB430B">
        <w:t xml:space="preserve">1.10.9.1.1. </w:t>
      </w:r>
      <w:r w:rsidRPr="00DB430B">
        <w:rPr>
          <w:color w:val="00B050"/>
        </w:rPr>
        <w:t>Kod przyczyny korekty</w:t>
      </w:r>
      <w:r w:rsidR="00DB430B" w:rsidRPr="00DB430B">
        <w:rPr>
          <w:color w:val="00B050"/>
        </w:rPr>
        <w:t xml:space="preserve"> </w:t>
      </w:r>
      <w:r w:rsidR="00DB430B">
        <w:t>o wartość:</w:t>
      </w:r>
    </w:p>
    <w:p w14:paraId="4D38B0B4" w14:textId="77777777" w:rsidR="00DB430B" w:rsidRPr="00DB430B" w:rsidRDefault="00DB430B" w:rsidP="00DB430B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DB430B">
        <w:rPr>
          <w:rFonts w:eastAsia="Times New Roman" w:cs="Calibri"/>
          <w:color w:val="7030A0"/>
          <w:lang w:eastAsia="pl-PL"/>
        </w:rPr>
        <w:t>K14 – regulacja farmy wiatrowej</w:t>
      </w:r>
    </w:p>
    <w:p w14:paraId="12DFB67F" w14:textId="77777777" w:rsidR="00DB430B" w:rsidRDefault="00DB430B" w:rsidP="00DB430B">
      <w:pPr>
        <w:pStyle w:val="Akapitzlist"/>
        <w:numPr>
          <w:ilvl w:val="0"/>
          <w:numId w:val="14"/>
        </w:numPr>
        <w:jc w:val="both"/>
      </w:pPr>
      <w:r>
        <w:t xml:space="preserve">rozszerzono słownik dla atrybutu 1.10.9.1.2. </w:t>
      </w:r>
      <w:r w:rsidRPr="002873A4">
        <w:rPr>
          <w:color w:val="00B050"/>
        </w:rPr>
        <w:t xml:space="preserve">Kod OBIS </w:t>
      </w:r>
      <w:r w:rsidR="002873A4">
        <w:t>(w sekcji Lista zużyć) o</w:t>
      </w:r>
      <w:r w:rsidRPr="00DB430B">
        <w:t xml:space="preserve"> wartości</w:t>
      </w:r>
      <w:r>
        <w:t xml:space="preserve">: </w:t>
      </w:r>
    </w:p>
    <w:p w14:paraId="2B68D618" w14:textId="77777777" w:rsidR="00DB430B" w:rsidRPr="00016073" w:rsidRDefault="00DB430B" w:rsidP="00DB430B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016073">
        <w:rPr>
          <w:rFonts w:eastAsia="Times New Roman" w:cs="Calibri"/>
          <w:color w:val="7030A0"/>
          <w:lang w:eastAsia="pl-PL"/>
        </w:rPr>
        <w:t>83.8.1</w:t>
      </w:r>
    </w:p>
    <w:p w14:paraId="6FEA13C8" w14:textId="77777777" w:rsidR="00DB430B" w:rsidRPr="00016073" w:rsidRDefault="00DB430B" w:rsidP="00DB430B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016073">
        <w:rPr>
          <w:rFonts w:eastAsia="Times New Roman" w:cs="Calibri"/>
          <w:color w:val="7030A0"/>
          <w:lang w:eastAsia="pl-PL"/>
        </w:rPr>
        <w:t>83.8.2</w:t>
      </w:r>
    </w:p>
    <w:p w14:paraId="0205E149" w14:textId="77777777" w:rsidR="00DB430B" w:rsidRPr="00016073" w:rsidRDefault="00DB430B" w:rsidP="00DB430B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016073">
        <w:rPr>
          <w:rFonts w:eastAsia="Times New Roman" w:cs="Calibri"/>
          <w:color w:val="7030A0"/>
          <w:lang w:eastAsia="pl-PL"/>
        </w:rPr>
        <w:t>83.8.4</w:t>
      </w:r>
    </w:p>
    <w:p w14:paraId="36A06A4A" w14:textId="77777777" w:rsidR="00DB430B" w:rsidRPr="00016073" w:rsidRDefault="00DB430B" w:rsidP="00DB430B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r w:rsidRPr="00016073">
        <w:rPr>
          <w:rFonts w:eastAsia="Times New Roman" w:cs="Calibri"/>
          <w:color w:val="7030A0"/>
          <w:lang w:eastAsia="pl-PL"/>
        </w:rPr>
        <w:t>83.8.5</w:t>
      </w:r>
    </w:p>
    <w:p w14:paraId="431A5846" w14:textId="77777777" w:rsidR="0052606D" w:rsidRDefault="00664AA5" w:rsidP="009A7384">
      <w:pPr>
        <w:pStyle w:val="Akapitzlist"/>
        <w:numPr>
          <w:ilvl w:val="0"/>
          <w:numId w:val="1"/>
        </w:numPr>
        <w:jc w:val="both"/>
      </w:pPr>
      <w:r>
        <w:t xml:space="preserve">W rozdziale </w:t>
      </w:r>
      <w:r w:rsidR="0052606D" w:rsidRPr="0052606D">
        <w:rPr>
          <w:b/>
        </w:rPr>
        <w:t>8. Dokumenty publikowane przez Portal Dostępowy Kontrahenta</w:t>
      </w:r>
      <w:r>
        <w:t xml:space="preserve">  wprowadzono zmiany</w:t>
      </w:r>
      <w:r w:rsidR="0052606D">
        <w:t>:</w:t>
      </w:r>
      <w:r>
        <w:t xml:space="preserve"> </w:t>
      </w:r>
    </w:p>
    <w:p w14:paraId="64B95988" w14:textId="77777777" w:rsidR="00664AA5" w:rsidRDefault="0052606D" w:rsidP="0052606D">
      <w:pPr>
        <w:pStyle w:val="Akapitzlist"/>
        <w:numPr>
          <w:ilvl w:val="0"/>
          <w:numId w:val="13"/>
        </w:numPr>
        <w:jc w:val="both"/>
      </w:pPr>
      <w:r>
        <w:t xml:space="preserve">w </w:t>
      </w:r>
      <w:r w:rsidR="00664AA5">
        <w:t xml:space="preserve">komunikacie </w:t>
      </w:r>
      <w:r>
        <w:t>8.5 UDPM/</w:t>
      </w:r>
      <w:proofErr w:type="spellStart"/>
      <w:r>
        <w:t>UDPMk</w:t>
      </w:r>
      <w:proofErr w:type="spellEnd"/>
      <w:r>
        <w:t xml:space="preserve"> dodano atrybut:</w:t>
      </w:r>
    </w:p>
    <w:p w14:paraId="35ACAA06" w14:textId="77777777" w:rsidR="0052606D" w:rsidRPr="0071318A" w:rsidRDefault="0052606D" w:rsidP="0071318A">
      <w:pPr>
        <w:pStyle w:val="Akapitzlist"/>
        <w:ind w:firstLine="696"/>
        <w:jc w:val="both"/>
        <w:rPr>
          <w:rFonts w:eastAsia="Times New Roman" w:cs="Calibri"/>
          <w:color w:val="7030A0"/>
          <w:lang w:eastAsia="pl-PL"/>
        </w:rPr>
      </w:pPr>
      <w:proofErr w:type="spellStart"/>
      <w:r w:rsidRPr="0071318A">
        <w:rPr>
          <w:rFonts w:eastAsia="Times New Roman" w:cs="Calibri"/>
          <w:color w:val="7030A0"/>
          <w:lang w:eastAsia="pl-PL"/>
        </w:rPr>
        <w:t>strataZuzycia</w:t>
      </w:r>
      <w:proofErr w:type="spellEnd"/>
      <w:r w:rsidRPr="0071318A">
        <w:rPr>
          <w:rFonts w:eastAsia="Times New Roman" w:cs="Calibri"/>
          <w:color w:val="7030A0"/>
          <w:lang w:eastAsia="pl-PL"/>
        </w:rPr>
        <w:t xml:space="preserve">  - określający wartość zużycia strat mierzonych w kWh</w:t>
      </w:r>
    </w:p>
    <w:p w14:paraId="3C036612" w14:textId="77777777" w:rsidR="0071318A" w:rsidRPr="0071318A" w:rsidRDefault="0071318A" w:rsidP="0052606D">
      <w:pPr>
        <w:pStyle w:val="Akapitzlist"/>
        <w:numPr>
          <w:ilvl w:val="0"/>
          <w:numId w:val="13"/>
        </w:numPr>
        <w:jc w:val="both"/>
        <w:rPr>
          <w:color w:val="7030A0"/>
        </w:rPr>
      </w:pPr>
      <w:r>
        <w:t>w komunikacie 8.5 UDPM/</w:t>
      </w:r>
      <w:proofErr w:type="spellStart"/>
      <w:r>
        <w:t>UDPMk</w:t>
      </w:r>
      <w:proofErr w:type="spellEnd"/>
      <w:r>
        <w:t xml:space="preserve"> zmieniono opis atrybutu </w:t>
      </w:r>
      <w:proofErr w:type="spellStart"/>
      <w:r w:rsidRPr="0071318A">
        <w:rPr>
          <w:rFonts w:eastAsia="Arial Unicode MS" w:cs="Arial"/>
          <w:color w:val="00B050"/>
        </w:rPr>
        <w:t>zuzycieZUwzglednieniemStrat</w:t>
      </w:r>
      <w:proofErr w:type="spellEnd"/>
      <w:r>
        <w:t xml:space="preserve">, który otrzymał treść: </w:t>
      </w:r>
      <w:r w:rsidRPr="0071318A">
        <w:rPr>
          <w:rFonts w:eastAsia="Arial Unicode MS" w:cs="Arial"/>
          <w:color w:val="7030A0"/>
        </w:rPr>
        <w:t xml:space="preserve">Wartość zużycia energii elektrycznej </w:t>
      </w:r>
      <w:r w:rsidRPr="0071318A">
        <w:rPr>
          <w:color w:val="7030A0"/>
        </w:rPr>
        <w:t>z uwzględnieniem współczynnika strat procentowych lub wartości zużycia strat mierzonych [kWh]</w:t>
      </w:r>
    </w:p>
    <w:p w14:paraId="696F9BB9" w14:textId="77777777" w:rsidR="0052606D" w:rsidRDefault="0052606D" w:rsidP="0052606D">
      <w:pPr>
        <w:pStyle w:val="Akapitzlist"/>
        <w:numPr>
          <w:ilvl w:val="0"/>
          <w:numId w:val="13"/>
        </w:numPr>
        <w:jc w:val="both"/>
      </w:pPr>
      <w:r>
        <w:t>w komunikatach 8.5 UDPM/</w:t>
      </w:r>
      <w:proofErr w:type="spellStart"/>
      <w:r>
        <w:t>UDPMk</w:t>
      </w:r>
      <w:proofErr w:type="spellEnd"/>
      <w:r>
        <w:t xml:space="preserve"> oraz </w:t>
      </w:r>
      <w:r w:rsidR="0071318A">
        <w:t>8.6 UDPP/</w:t>
      </w:r>
      <w:proofErr w:type="spellStart"/>
      <w:r w:rsidR="0071318A">
        <w:t>UDPPk</w:t>
      </w:r>
      <w:proofErr w:type="spellEnd"/>
      <w:r w:rsidR="0071318A">
        <w:t xml:space="preserve"> zmieniono opis atrybutu </w:t>
      </w:r>
      <w:proofErr w:type="spellStart"/>
      <w:r w:rsidR="0071318A" w:rsidRPr="0071318A">
        <w:rPr>
          <w:color w:val="00B050"/>
        </w:rPr>
        <w:t>strataProcent</w:t>
      </w:r>
      <w:proofErr w:type="spellEnd"/>
      <w:r w:rsidR="0071318A">
        <w:t xml:space="preserve">, który otrzymał treść: </w:t>
      </w:r>
      <w:r w:rsidR="0071318A" w:rsidRPr="0071318A">
        <w:rPr>
          <w:rFonts w:eastAsia="Arial Unicode MS" w:cs="Arial"/>
          <w:color w:val="7030A0"/>
        </w:rPr>
        <w:t>Współczynnik procentowy  strat</w:t>
      </w:r>
    </w:p>
    <w:sectPr w:rsidR="0052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A4"/>
    <w:multiLevelType w:val="hybridMultilevel"/>
    <w:tmpl w:val="8508FD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0000E"/>
    <w:multiLevelType w:val="hybridMultilevel"/>
    <w:tmpl w:val="8DF0B3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91574"/>
    <w:multiLevelType w:val="hybridMultilevel"/>
    <w:tmpl w:val="66D8E85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B4DE9"/>
    <w:multiLevelType w:val="hybridMultilevel"/>
    <w:tmpl w:val="5CA0E9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20D96"/>
    <w:multiLevelType w:val="hybridMultilevel"/>
    <w:tmpl w:val="AA061584"/>
    <w:lvl w:ilvl="0" w:tplc="7D74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539DD"/>
    <w:multiLevelType w:val="hybridMultilevel"/>
    <w:tmpl w:val="60BEC162"/>
    <w:lvl w:ilvl="0" w:tplc="F0EC5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E14BC"/>
    <w:multiLevelType w:val="hybridMultilevel"/>
    <w:tmpl w:val="643CB7D2"/>
    <w:lvl w:ilvl="0" w:tplc="E176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21F5E"/>
    <w:multiLevelType w:val="hybridMultilevel"/>
    <w:tmpl w:val="370E8BF6"/>
    <w:lvl w:ilvl="0" w:tplc="81AC3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5435C"/>
    <w:multiLevelType w:val="hybridMultilevel"/>
    <w:tmpl w:val="3DF2BD9A"/>
    <w:lvl w:ilvl="0" w:tplc="2D52F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3294A"/>
    <w:multiLevelType w:val="hybridMultilevel"/>
    <w:tmpl w:val="DEFA9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3C784F"/>
    <w:multiLevelType w:val="hybridMultilevel"/>
    <w:tmpl w:val="B6567322"/>
    <w:lvl w:ilvl="0" w:tplc="FB103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455DB"/>
    <w:multiLevelType w:val="hybridMultilevel"/>
    <w:tmpl w:val="104471BC"/>
    <w:lvl w:ilvl="0" w:tplc="D8FA8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9557BD"/>
    <w:multiLevelType w:val="hybridMultilevel"/>
    <w:tmpl w:val="3B2448B8"/>
    <w:lvl w:ilvl="0" w:tplc="C7EC3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EE0812"/>
    <w:multiLevelType w:val="hybridMultilevel"/>
    <w:tmpl w:val="A7B6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307730">
    <w:abstractNumId w:val="13"/>
  </w:num>
  <w:num w:numId="2" w16cid:durableId="980425492">
    <w:abstractNumId w:val="11"/>
  </w:num>
  <w:num w:numId="3" w16cid:durableId="484783005">
    <w:abstractNumId w:val="8"/>
  </w:num>
  <w:num w:numId="4" w16cid:durableId="1640382990">
    <w:abstractNumId w:val="7"/>
  </w:num>
  <w:num w:numId="5" w16cid:durableId="1987859308">
    <w:abstractNumId w:val="5"/>
  </w:num>
  <w:num w:numId="6" w16cid:durableId="731583471">
    <w:abstractNumId w:val="9"/>
  </w:num>
  <w:num w:numId="7" w16cid:durableId="1104888020">
    <w:abstractNumId w:val="2"/>
  </w:num>
  <w:num w:numId="8" w16cid:durableId="1651977423">
    <w:abstractNumId w:val="1"/>
  </w:num>
  <w:num w:numId="9" w16cid:durableId="478615279">
    <w:abstractNumId w:val="3"/>
  </w:num>
  <w:num w:numId="10" w16cid:durableId="97651700">
    <w:abstractNumId w:val="12"/>
  </w:num>
  <w:num w:numId="11" w16cid:durableId="1294368128">
    <w:abstractNumId w:val="6"/>
  </w:num>
  <w:num w:numId="12" w16cid:durableId="809178094">
    <w:abstractNumId w:val="0"/>
  </w:num>
  <w:num w:numId="13" w16cid:durableId="1015813814">
    <w:abstractNumId w:val="4"/>
  </w:num>
  <w:num w:numId="14" w16cid:durableId="6785838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D5"/>
    <w:rsid w:val="00002441"/>
    <w:rsid w:val="00003A36"/>
    <w:rsid w:val="00007CD8"/>
    <w:rsid w:val="00014DDC"/>
    <w:rsid w:val="00016073"/>
    <w:rsid w:val="00025137"/>
    <w:rsid w:val="00026DCE"/>
    <w:rsid w:val="0003328F"/>
    <w:rsid w:val="00051D90"/>
    <w:rsid w:val="00064D47"/>
    <w:rsid w:val="0008632E"/>
    <w:rsid w:val="00090ED1"/>
    <w:rsid w:val="000A4CE0"/>
    <w:rsid w:val="000B54B0"/>
    <w:rsid w:val="000D0405"/>
    <w:rsid w:val="000D16F7"/>
    <w:rsid w:val="0010486C"/>
    <w:rsid w:val="001048D6"/>
    <w:rsid w:val="00105285"/>
    <w:rsid w:val="0010635E"/>
    <w:rsid w:val="00110E91"/>
    <w:rsid w:val="0011790B"/>
    <w:rsid w:val="00125612"/>
    <w:rsid w:val="00132E26"/>
    <w:rsid w:val="001423FB"/>
    <w:rsid w:val="001444E8"/>
    <w:rsid w:val="001630F3"/>
    <w:rsid w:val="00167F72"/>
    <w:rsid w:val="001834C1"/>
    <w:rsid w:val="001C003B"/>
    <w:rsid w:val="001F4C2A"/>
    <w:rsid w:val="00204EB7"/>
    <w:rsid w:val="0021204E"/>
    <w:rsid w:val="00213FBC"/>
    <w:rsid w:val="0021641E"/>
    <w:rsid w:val="00217F3C"/>
    <w:rsid w:val="0022474C"/>
    <w:rsid w:val="002250B2"/>
    <w:rsid w:val="00241056"/>
    <w:rsid w:val="00241537"/>
    <w:rsid w:val="00254D26"/>
    <w:rsid w:val="00277EC3"/>
    <w:rsid w:val="00285340"/>
    <w:rsid w:val="00285926"/>
    <w:rsid w:val="002873A4"/>
    <w:rsid w:val="002930F3"/>
    <w:rsid w:val="002C0CAB"/>
    <w:rsid w:val="002C1A0A"/>
    <w:rsid w:val="002C46EB"/>
    <w:rsid w:val="002D60C0"/>
    <w:rsid w:val="002D7510"/>
    <w:rsid w:val="002E76BE"/>
    <w:rsid w:val="002F3D85"/>
    <w:rsid w:val="0031208C"/>
    <w:rsid w:val="0031674D"/>
    <w:rsid w:val="0032092A"/>
    <w:rsid w:val="0032745D"/>
    <w:rsid w:val="00352F69"/>
    <w:rsid w:val="00355129"/>
    <w:rsid w:val="00364660"/>
    <w:rsid w:val="00377D32"/>
    <w:rsid w:val="00377F9B"/>
    <w:rsid w:val="003803D5"/>
    <w:rsid w:val="00390F64"/>
    <w:rsid w:val="00391B93"/>
    <w:rsid w:val="003A7F9C"/>
    <w:rsid w:val="003B02A8"/>
    <w:rsid w:val="003B1311"/>
    <w:rsid w:val="003D5446"/>
    <w:rsid w:val="003D6CAF"/>
    <w:rsid w:val="003E79D9"/>
    <w:rsid w:val="003F46A3"/>
    <w:rsid w:val="004144FC"/>
    <w:rsid w:val="004177D6"/>
    <w:rsid w:val="0042403A"/>
    <w:rsid w:val="00433C40"/>
    <w:rsid w:val="00443345"/>
    <w:rsid w:val="004526D5"/>
    <w:rsid w:val="004540F5"/>
    <w:rsid w:val="00454317"/>
    <w:rsid w:val="00465613"/>
    <w:rsid w:val="00467A9E"/>
    <w:rsid w:val="00480ABB"/>
    <w:rsid w:val="004818F9"/>
    <w:rsid w:val="004828A1"/>
    <w:rsid w:val="00487F63"/>
    <w:rsid w:val="004C6E1E"/>
    <w:rsid w:val="004E6065"/>
    <w:rsid w:val="005244B5"/>
    <w:rsid w:val="005249FD"/>
    <w:rsid w:val="00524ED7"/>
    <w:rsid w:val="0052606D"/>
    <w:rsid w:val="005411E1"/>
    <w:rsid w:val="00551942"/>
    <w:rsid w:val="00574107"/>
    <w:rsid w:val="005912CE"/>
    <w:rsid w:val="005A33D5"/>
    <w:rsid w:val="005C1EDA"/>
    <w:rsid w:val="005C3F55"/>
    <w:rsid w:val="005D16DB"/>
    <w:rsid w:val="005D2B8C"/>
    <w:rsid w:val="005D3D3D"/>
    <w:rsid w:val="005D521A"/>
    <w:rsid w:val="005D5677"/>
    <w:rsid w:val="005E7E03"/>
    <w:rsid w:val="005F3BBE"/>
    <w:rsid w:val="005F3CBE"/>
    <w:rsid w:val="00601E9E"/>
    <w:rsid w:val="0061749A"/>
    <w:rsid w:val="006215D4"/>
    <w:rsid w:val="0062611C"/>
    <w:rsid w:val="00636035"/>
    <w:rsid w:val="006538EE"/>
    <w:rsid w:val="00660901"/>
    <w:rsid w:val="00664AA5"/>
    <w:rsid w:val="00680D38"/>
    <w:rsid w:val="0069220C"/>
    <w:rsid w:val="006977A8"/>
    <w:rsid w:val="006A5A84"/>
    <w:rsid w:val="006C78A3"/>
    <w:rsid w:val="006D5CEA"/>
    <w:rsid w:val="006E12F5"/>
    <w:rsid w:val="006E1CFF"/>
    <w:rsid w:val="006E72A3"/>
    <w:rsid w:val="006F07ED"/>
    <w:rsid w:val="006F760B"/>
    <w:rsid w:val="00701478"/>
    <w:rsid w:val="00703638"/>
    <w:rsid w:val="00707AAF"/>
    <w:rsid w:val="0071318A"/>
    <w:rsid w:val="00724338"/>
    <w:rsid w:val="0075408A"/>
    <w:rsid w:val="00763C47"/>
    <w:rsid w:val="00765832"/>
    <w:rsid w:val="00772AB0"/>
    <w:rsid w:val="007803D2"/>
    <w:rsid w:val="00786092"/>
    <w:rsid w:val="00791287"/>
    <w:rsid w:val="007A20D4"/>
    <w:rsid w:val="007A2323"/>
    <w:rsid w:val="007A5BE9"/>
    <w:rsid w:val="007B5398"/>
    <w:rsid w:val="007B56CB"/>
    <w:rsid w:val="007C3FBF"/>
    <w:rsid w:val="007D00BC"/>
    <w:rsid w:val="007D4752"/>
    <w:rsid w:val="007D4C74"/>
    <w:rsid w:val="007E33CE"/>
    <w:rsid w:val="008152AA"/>
    <w:rsid w:val="00820CF6"/>
    <w:rsid w:val="008423B9"/>
    <w:rsid w:val="00845C8A"/>
    <w:rsid w:val="00847197"/>
    <w:rsid w:val="00850E81"/>
    <w:rsid w:val="00867046"/>
    <w:rsid w:val="00876445"/>
    <w:rsid w:val="008A0019"/>
    <w:rsid w:val="008A2842"/>
    <w:rsid w:val="008A412E"/>
    <w:rsid w:val="008A580F"/>
    <w:rsid w:val="008C1F1F"/>
    <w:rsid w:val="008E0E51"/>
    <w:rsid w:val="008E1786"/>
    <w:rsid w:val="008F54DF"/>
    <w:rsid w:val="008F7E07"/>
    <w:rsid w:val="009233B6"/>
    <w:rsid w:val="009346B8"/>
    <w:rsid w:val="009436C5"/>
    <w:rsid w:val="00944BF7"/>
    <w:rsid w:val="00947115"/>
    <w:rsid w:val="00950F02"/>
    <w:rsid w:val="00965FA8"/>
    <w:rsid w:val="0097641F"/>
    <w:rsid w:val="00981159"/>
    <w:rsid w:val="00982CFB"/>
    <w:rsid w:val="009A4276"/>
    <w:rsid w:val="009A49F8"/>
    <w:rsid w:val="009A7384"/>
    <w:rsid w:val="009C2FDA"/>
    <w:rsid w:val="009D256A"/>
    <w:rsid w:val="009E1CA4"/>
    <w:rsid w:val="009E345A"/>
    <w:rsid w:val="00A03572"/>
    <w:rsid w:val="00A05F30"/>
    <w:rsid w:val="00A07B29"/>
    <w:rsid w:val="00A110E0"/>
    <w:rsid w:val="00A217FE"/>
    <w:rsid w:val="00A3625E"/>
    <w:rsid w:val="00A5109C"/>
    <w:rsid w:val="00A61D75"/>
    <w:rsid w:val="00A679BD"/>
    <w:rsid w:val="00A821B5"/>
    <w:rsid w:val="00AA5619"/>
    <w:rsid w:val="00AA5F92"/>
    <w:rsid w:val="00AA6400"/>
    <w:rsid w:val="00AC6873"/>
    <w:rsid w:val="00AC6BB9"/>
    <w:rsid w:val="00AE2AB5"/>
    <w:rsid w:val="00AF0FFA"/>
    <w:rsid w:val="00AF1EA3"/>
    <w:rsid w:val="00AF248A"/>
    <w:rsid w:val="00AF4413"/>
    <w:rsid w:val="00B01416"/>
    <w:rsid w:val="00B059AD"/>
    <w:rsid w:val="00B1089F"/>
    <w:rsid w:val="00B13C20"/>
    <w:rsid w:val="00B24795"/>
    <w:rsid w:val="00B32F0A"/>
    <w:rsid w:val="00B36421"/>
    <w:rsid w:val="00B539B3"/>
    <w:rsid w:val="00B56039"/>
    <w:rsid w:val="00B811B8"/>
    <w:rsid w:val="00BA5A21"/>
    <w:rsid w:val="00BC0A63"/>
    <w:rsid w:val="00BC4E82"/>
    <w:rsid w:val="00BC769B"/>
    <w:rsid w:val="00BD0585"/>
    <w:rsid w:val="00BE1A56"/>
    <w:rsid w:val="00BE4AB6"/>
    <w:rsid w:val="00BF1254"/>
    <w:rsid w:val="00BF2D51"/>
    <w:rsid w:val="00BF2E38"/>
    <w:rsid w:val="00BF65F7"/>
    <w:rsid w:val="00C10982"/>
    <w:rsid w:val="00C13145"/>
    <w:rsid w:val="00C142BD"/>
    <w:rsid w:val="00C26973"/>
    <w:rsid w:val="00C315F8"/>
    <w:rsid w:val="00C42939"/>
    <w:rsid w:val="00C461BF"/>
    <w:rsid w:val="00C52BE6"/>
    <w:rsid w:val="00C70AD5"/>
    <w:rsid w:val="00C73C9C"/>
    <w:rsid w:val="00C83F96"/>
    <w:rsid w:val="00CA485E"/>
    <w:rsid w:val="00CA5DDF"/>
    <w:rsid w:val="00CB3911"/>
    <w:rsid w:val="00CC2BC5"/>
    <w:rsid w:val="00CD105F"/>
    <w:rsid w:val="00CD5B48"/>
    <w:rsid w:val="00CE2A21"/>
    <w:rsid w:val="00CE652D"/>
    <w:rsid w:val="00CF0BFD"/>
    <w:rsid w:val="00D00D80"/>
    <w:rsid w:val="00D26A7A"/>
    <w:rsid w:val="00D301FA"/>
    <w:rsid w:val="00D41ADE"/>
    <w:rsid w:val="00D54ABF"/>
    <w:rsid w:val="00D60228"/>
    <w:rsid w:val="00D63FB6"/>
    <w:rsid w:val="00D84088"/>
    <w:rsid w:val="00D84935"/>
    <w:rsid w:val="00D85191"/>
    <w:rsid w:val="00DA4B86"/>
    <w:rsid w:val="00DB0D38"/>
    <w:rsid w:val="00DB430B"/>
    <w:rsid w:val="00DB4E23"/>
    <w:rsid w:val="00DB7894"/>
    <w:rsid w:val="00DC0DC1"/>
    <w:rsid w:val="00DC7B02"/>
    <w:rsid w:val="00DD281D"/>
    <w:rsid w:val="00DF6B73"/>
    <w:rsid w:val="00DF7ADD"/>
    <w:rsid w:val="00E15C84"/>
    <w:rsid w:val="00E1678B"/>
    <w:rsid w:val="00E25942"/>
    <w:rsid w:val="00E266B4"/>
    <w:rsid w:val="00E27151"/>
    <w:rsid w:val="00E332D3"/>
    <w:rsid w:val="00E35EF9"/>
    <w:rsid w:val="00E61268"/>
    <w:rsid w:val="00E6194A"/>
    <w:rsid w:val="00E64E21"/>
    <w:rsid w:val="00E71EB7"/>
    <w:rsid w:val="00E722D8"/>
    <w:rsid w:val="00E86AA9"/>
    <w:rsid w:val="00E86DFC"/>
    <w:rsid w:val="00E95EC6"/>
    <w:rsid w:val="00E9694D"/>
    <w:rsid w:val="00EB5110"/>
    <w:rsid w:val="00EC4E09"/>
    <w:rsid w:val="00EE05E1"/>
    <w:rsid w:val="00EE3C26"/>
    <w:rsid w:val="00EF31B3"/>
    <w:rsid w:val="00EF3CBF"/>
    <w:rsid w:val="00F0327C"/>
    <w:rsid w:val="00F157FE"/>
    <w:rsid w:val="00F27B7A"/>
    <w:rsid w:val="00F579B4"/>
    <w:rsid w:val="00F6222D"/>
    <w:rsid w:val="00F625FE"/>
    <w:rsid w:val="00F67725"/>
    <w:rsid w:val="00F70786"/>
    <w:rsid w:val="00F80352"/>
    <w:rsid w:val="00F83459"/>
    <w:rsid w:val="00F86A3C"/>
    <w:rsid w:val="00FA6BC1"/>
    <w:rsid w:val="00FB25A9"/>
    <w:rsid w:val="00FB32C2"/>
    <w:rsid w:val="00FB5DA8"/>
    <w:rsid w:val="00FC0F9D"/>
    <w:rsid w:val="00FC18CD"/>
    <w:rsid w:val="00FC236D"/>
    <w:rsid w:val="00FC2DE2"/>
    <w:rsid w:val="00FD464C"/>
    <w:rsid w:val="00FE099A"/>
    <w:rsid w:val="00FE2921"/>
    <w:rsid w:val="00FF16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211"/>
  <w15:docId w15:val="{4A5BA234-C72C-4427-9600-5FA116C3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  <w:style w:type="character" w:customStyle="1" w:styleId="Styl1Znak">
    <w:name w:val="Styl1 Znak"/>
    <w:basedOn w:val="Domylnaczcionkaakapitu"/>
    <w:link w:val="Styl1"/>
    <w:locked/>
    <w:rsid w:val="009E345A"/>
    <w:rPr>
      <w:rFonts w:ascii="Calibri" w:hAnsi="Calibri" w:cs="Calibri"/>
      <w:b/>
      <w:bCs/>
    </w:rPr>
  </w:style>
  <w:style w:type="paragraph" w:customStyle="1" w:styleId="Styl1">
    <w:name w:val="Styl1"/>
    <w:basedOn w:val="Normalny"/>
    <w:link w:val="Styl1Znak"/>
    <w:qFormat/>
    <w:rsid w:val="009E345A"/>
    <w:pPr>
      <w:spacing w:after="0" w:line="240" w:lineRule="auto"/>
      <w:ind w:left="1778" w:hanging="360"/>
      <w:contextualSpacing/>
      <w:jc w:val="both"/>
    </w:pPr>
    <w:rPr>
      <w:rFonts w:ascii="Calibri" w:hAnsi="Calibri" w:cs="Calibri"/>
      <w:b/>
      <w:bCs/>
    </w:rPr>
  </w:style>
  <w:style w:type="table" w:customStyle="1" w:styleId="StylTabeli">
    <w:name w:val="Styl_Tabeli"/>
    <w:basedOn w:val="Standardowy"/>
    <w:uiPriority w:val="99"/>
    <w:rsid w:val="00BC0A63"/>
    <w:pPr>
      <w:spacing w:before="60" w:after="60" w:line="240" w:lineRule="auto"/>
    </w:pPr>
    <w:rPr>
      <w:rFonts w:ascii="Calibri" w:eastAsia="Calibri" w:hAnsi="Calibri" w:cs="Times New Roman"/>
      <w:szCs w:val="20"/>
      <w:lang w:eastAsia="pl-PL"/>
    </w:rPr>
    <w:tblPr>
      <w:tblStyleRowBandSize w:val="2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rFonts w:ascii="Calibri" w:hAnsi="Calibri"/>
        <w:b/>
        <w:sz w:val="22"/>
      </w:rPr>
      <w:tblPr/>
      <w:tcPr>
        <w:shd w:val="clear" w:color="auto" w:fill="89D1DB"/>
      </w:tcPr>
    </w:tblStylePr>
  </w:style>
  <w:style w:type="paragraph" w:customStyle="1" w:styleId="Styl2">
    <w:name w:val="Styl2"/>
    <w:basedOn w:val="Akapitzlist"/>
    <w:qFormat/>
    <w:rsid w:val="00BF65F7"/>
    <w:pPr>
      <w:spacing w:after="0" w:line="240" w:lineRule="auto"/>
      <w:ind w:left="1429" w:hanging="720"/>
      <w:outlineLvl w:val="2"/>
    </w:pPr>
    <w:rPr>
      <w:rFonts w:ascii="Calibri" w:hAnsi="Calibri" w:cs="Times New Roman"/>
      <w:b/>
      <w:sz w:val="24"/>
      <w:szCs w:val="24"/>
      <w:u w:val="single"/>
    </w:rPr>
  </w:style>
  <w:style w:type="paragraph" w:customStyle="1" w:styleId="Styl3">
    <w:name w:val="Styl3"/>
    <w:basedOn w:val="Styl2"/>
    <w:qFormat/>
    <w:rsid w:val="00BF65F7"/>
    <w:pPr>
      <w:ind w:left="1211" w:hanging="360"/>
      <w:outlineLvl w:val="1"/>
    </w:pPr>
  </w:style>
  <w:style w:type="character" w:styleId="Hipercze">
    <w:name w:val="Hyperlink"/>
    <w:basedOn w:val="Domylnaczcionkaakapitu"/>
    <w:uiPriority w:val="99"/>
    <w:semiHidden/>
    <w:unhideWhenUsed/>
    <w:rsid w:val="00F707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ala@energa-operat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F730-71CE-4366-BE4D-586EDFB8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 Violetta</dc:creator>
  <cp:lastModifiedBy>Lipka Violetta (01000166)</cp:lastModifiedBy>
  <cp:revision>40</cp:revision>
  <cp:lastPrinted>2022-08-22T09:53:00Z</cp:lastPrinted>
  <dcterms:created xsi:type="dcterms:W3CDTF">2022-08-24T10:54:00Z</dcterms:created>
  <dcterms:modified xsi:type="dcterms:W3CDTF">2023-05-19T11:27:00Z</dcterms:modified>
</cp:coreProperties>
</file>