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DB54" w14:textId="77777777" w:rsidR="000E1B7E" w:rsidRPr="005D521A" w:rsidRDefault="00FC18CD">
      <w:pPr>
        <w:rPr>
          <w:u w:val="single"/>
        </w:rPr>
      </w:pPr>
      <w:r>
        <w:rPr>
          <w:u w:val="single"/>
        </w:rPr>
        <w:t xml:space="preserve">Wykaz najważniejszych zmian </w:t>
      </w:r>
      <w:r w:rsidR="00CE652D">
        <w:rPr>
          <w:u w:val="single"/>
        </w:rPr>
        <w:t xml:space="preserve">oraz </w:t>
      </w:r>
      <w:r>
        <w:rPr>
          <w:u w:val="single"/>
        </w:rPr>
        <w:t xml:space="preserve"> </w:t>
      </w:r>
      <w:r w:rsidR="003B1311">
        <w:rPr>
          <w:u w:val="single"/>
        </w:rPr>
        <w:t xml:space="preserve">nowych funkcjonalności </w:t>
      </w:r>
      <w:r>
        <w:rPr>
          <w:u w:val="single"/>
        </w:rPr>
        <w:t xml:space="preserve">wprowadzonych </w:t>
      </w:r>
      <w:r w:rsidR="002D60C0" w:rsidRPr="005D521A">
        <w:rPr>
          <w:u w:val="single"/>
        </w:rPr>
        <w:t>w dokumencie: Standardy Wymiany Informacji ENERGA-OPERATOR SA ze Sprzedawcami i POB.</w:t>
      </w:r>
    </w:p>
    <w:p w14:paraId="2796CD61" w14:textId="4A5DC6CE" w:rsidR="002D60C0" w:rsidRDefault="002D60C0" w:rsidP="00CE2A21">
      <w:pPr>
        <w:jc w:val="both"/>
      </w:pPr>
      <w:r>
        <w:t>Pla</w:t>
      </w:r>
      <w:r w:rsidR="0075408A">
        <w:t>nowana da</w:t>
      </w:r>
      <w:r w:rsidR="00B56039">
        <w:t>ta wprowadzeni</w:t>
      </w:r>
      <w:r w:rsidR="001444E8">
        <w:t xml:space="preserve">a zmian: </w:t>
      </w:r>
      <w:r w:rsidR="007633C7">
        <w:t>25</w:t>
      </w:r>
      <w:r w:rsidR="00AF4F67">
        <w:t xml:space="preserve"> sierpnia</w:t>
      </w:r>
      <w:r w:rsidR="001444E8">
        <w:t xml:space="preserve"> 2023 </w:t>
      </w:r>
      <w:r>
        <w:t>roku.</w:t>
      </w:r>
      <w:r w:rsidR="007803D2">
        <w:t xml:space="preserve"> </w:t>
      </w:r>
    </w:p>
    <w:p w14:paraId="37CB5922" w14:textId="07B8EBCA" w:rsidR="00EE3C26" w:rsidRDefault="00EC4E09" w:rsidP="001D2638">
      <w:pPr>
        <w:pStyle w:val="Akapitzlist"/>
        <w:numPr>
          <w:ilvl w:val="0"/>
          <w:numId w:val="1"/>
        </w:numPr>
        <w:jc w:val="both"/>
      </w:pPr>
      <w:r>
        <w:t>W komunika</w:t>
      </w:r>
      <w:r w:rsidR="001D2638">
        <w:t xml:space="preserve">cie </w:t>
      </w:r>
      <w:r w:rsidR="00EE3C26" w:rsidRPr="00DA4071">
        <w:rPr>
          <w:b/>
          <w:bCs/>
          <w:i/>
          <w:iCs/>
        </w:rPr>
        <w:t>7.1.1.</w:t>
      </w:r>
      <w:r w:rsidR="00EE3C26" w:rsidRPr="00497615">
        <w:rPr>
          <w:i/>
          <w:iCs/>
        </w:rPr>
        <w:t xml:space="preserve"> </w:t>
      </w:r>
      <w:r w:rsidR="0010486C" w:rsidRPr="00111F17">
        <w:rPr>
          <w:b/>
          <w:bCs/>
          <w:i/>
          <w:iCs/>
        </w:rPr>
        <w:t>Zgłoszenie wprowadzenia</w:t>
      </w:r>
      <w:r w:rsidR="00EE3C26" w:rsidRPr="00111F17">
        <w:rPr>
          <w:b/>
          <w:bCs/>
          <w:i/>
          <w:iCs/>
        </w:rPr>
        <w:t xml:space="preserve"> Odbiorcy do pustego PPE</w:t>
      </w:r>
      <w:r w:rsidR="008A0019" w:rsidRPr="001D2638">
        <w:t xml:space="preserve"> </w:t>
      </w:r>
      <w:r w:rsidR="00E25942">
        <w:t>[</w:t>
      </w:r>
      <w:proofErr w:type="spellStart"/>
      <w:r w:rsidR="008A0019">
        <w:t>Customer</w:t>
      </w:r>
      <w:r w:rsidR="00A3625E">
        <w:t>M</w:t>
      </w:r>
      <w:r w:rsidR="008A0019">
        <w:t>ove</w:t>
      </w:r>
      <w:r w:rsidR="00A3625E">
        <w:t>I</w:t>
      </w:r>
      <w:r w:rsidR="008A0019">
        <w:t>n</w:t>
      </w:r>
      <w:proofErr w:type="spellEnd"/>
      <w:r w:rsidR="008A0019">
        <w:t>]</w:t>
      </w:r>
      <w:r w:rsidR="003C0324">
        <w:t xml:space="preserve"> wprowadzono zmian</w:t>
      </w:r>
      <w:r w:rsidR="006A3860">
        <w:t>y</w:t>
      </w:r>
      <w:r w:rsidR="003C0324">
        <w:t>:</w:t>
      </w:r>
    </w:p>
    <w:p w14:paraId="5C3A65CB" w14:textId="6518760B" w:rsidR="006A3860" w:rsidRDefault="006A3860" w:rsidP="0094251D">
      <w:pPr>
        <w:pStyle w:val="Akapitzlist"/>
        <w:numPr>
          <w:ilvl w:val="0"/>
          <w:numId w:val="16"/>
        </w:numPr>
        <w:jc w:val="both"/>
      </w:pPr>
      <w:r>
        <w:t xml:space="preserve">W sekcji 1.1 </w:t>
      </w:r>
      <w:r w:rsidRPr="000E5FA5">
        <w:rPr>
          <w:color w:val="0070C0"/>
        </w:rPr>
        <w:t xml:space="preserve">Dodatkowe dane zgłoszenia </w:t>
      </w:r>
      <w:r>
        <w:t>usunięto atrybuty</w:t>
      </w:r>
      <w:r w:rsidR="0094251D">
        <w:t>:</w:t>
      </w:r>
    </w:p>
    <w:p w14:paraId="1504ECBE" w14:textId="617E184E" w:rsidR="0094251D" w:rsidRPr="00071DAB" w:rsidRDefault="0094251D" w:rsidP="005E6A9A">
      <w:pPr>
        <w:pStyle w:val="Akapitzlist"/>
        <w:numPr>
          <w:ilvl w:val="0"/>
          <w:numId w:val="17"/>
        </w:numPr>
        <w:jc w:val="both"/>
        <w:rPr>
          <w:color w:val="FF0000"/>
        </w:rPr>
      </w:pPr>
      <w:r w:rsidRPr="00071DAB">
        <w:rPr>
          <w:color w:val="FF0000"/>
        </w:rPr>
        <w:t>Moc bezpieczna stała w ciągu roku</w:t>
      </w:r>
    </w:p>
    <w:p w14:paraId="3D77611F" w14:textId="7017DE80" w:rsidR="0094251D" w:rsidRPr="00071DAB" w:rsidRDefault="0094251D" w:rsidP="005E6A9A">
      <w:pPr>
        <w:pStyle w:val="Akapitzlist"/>
        <w:numPr>
          <w:ilvl w:val="0"/>
          <w:numId w:val="17"/>
        </w:numPr>
        <w:jc w:val="both"/>
        <w:rPr>
          <w:color w:val="FF0000"/>
        </w:rPr>
      </w:pPr>
      <w:r w:rsidRPr="00071DAB">
        <w:rPr>
          <w:color w:val="FF0000"/>
        </w:rPr>
        <w:t>Jednostka mocy bezpiecznej</w:t>
      </w:r>
    </w:p>
    <w:p w14:paraId="5EBFCB8F" w14:textId="68D0B4BE" w:rsidR="0094251D" w:rsidRDefault="0094251D" w:rsidP="0094251D">
      <w:pPr>
        <w:pStyle w:val="Akapitzlist"/>
        <w:numPr>
          <w:ilvl w:val="0"/>
          <w:numId w:val="16"/>
        </w:numPr>
        <w:jc w:val="both"/>
      </w:pPr>
      <w:r>
        <w:t xml:space="preserve">Usunięto sekcję 1.1.2 </w:t>
      </w:r>
      <w:r w:rsidRPr="000E5FA5">
        <w:rPr>
          <w:color w:val="0070C0"/>
        </w:rPr>
        <w:t>Moc bezpieczna w rozbiciu na miesiące</w:t>
      </w:r>
      <w:r>
        <w:t>.</w:t>
      </w:r>
    </w:p>
    <w:p w14:paraId="1B976793" w14:textId="162255A2" w:rsidR="0094251D" w:rsidRDefault="0094251D" w:rsidP="006A3860">
      <w:pPr>
        <w:pStyle w:val="Akapitzlist"/>
        <w:jc w:val="both"/>
      </w:pPr>
      <w:r>
        <w:t>Atrybut moc bezpieczna zostaje usunięty z komunikacji</w:t>
      </w:r>
      <w:r w:rsidR="005E6A9A">
        <w:t xml:space="preserve"> SWI</w:t>
      </w:r>
      <w:r>
        <w:t>. Operator zaprzestał wykorzystywania tego parametru na potrzeby tworzenia Planu Ograniczeń Mocy ze względu na zmiany legislacyjne.</w:t>
      </w:r>
    </w:p>
    <w:p w14:paraId="0F2741E0" w14:textId="3FE1EFE4" w:rsidR="0032092A" w:rsidRDefault="001D2638" w:rsidP="001D2638">
      <w:pPr>
        <w:pStyle w:val="Akapitzlist"/>
        <w:numPr>
          <w:ilvl w:val="0"/>
          <w:numId w:val="1"/>
        </w:numPr>
        <w:jc w:val="both"/>
      </w:pPr>
      <w:r>
        <w:t xml:space="preserve">W komunikacie </w:t>
      </w:r>
      <w:r w:rsidR="0032092A" w:rsidRPr="00DC6796">
        <w:rPr>
          <w:b/>
          <w:bCs/>
          <w:i/>
          <w:iCs/>
        </w:rPr>
        <w:t>7.1</w:t>
      </w:r>
      <w:r w:rsidR="00DC6796" w:rsidRPr="00DC6796">
        <w:rPr>
          <w:b/>
          <w:bCs/>
          <w:i/>
          <w:iCs/>
        </w:rPr>
        <w:t>2</w:t>
      </w:r>
      <w:r w:rsidR="0032092A" w:rsidRPr="00DC6796">
        <w:rPr>
          <w:b/>
          <w:bCs/>
          <w:i/>
          <w:iCs/>
        </w:rPr>
        <w:t>.1.</w:t>
      </w:r>
      <w:r w:rsidR="0032092A" w:rsidRPr="001D2638">
        <w:t xml:space="preserve"> </w:t>
      </w:r>
      <w:r w:rsidR="0032092A" w:rsidRPr="00111F17">
        <w:rPr>
          <w:b/>
          <w:bCs/>
          <w:i/>
          <w:iCs/>
        </w:rPr>
        <w:t>Zgłoszenie zmiany parametrów umowy kompleksowej</w:t>
      </w:r>
      <w:r w:rsidR="0032092A" w:rsidRPr="001D2638">
        <w:t xml:space="preserve"> </w:t>
      </w:r>
      <w:r w:rsidR="0032092A">
        <w:t>[</w:t>
      </w:r>
      <w:proofErr w:type="spellStart"/>
      <w:r w:rsidR="0032092A">
        <w:t>ChangeInComprehensiveAgreement</w:t>
      </w:r>
      <w:proofErr w:type="spellEnd"/>
      <w:r w:rsidR="0032092A">
        <w:t xml:space="preserve">] </w:t>
      </w:r>
      <w:r w:rsidR="003C0324">
        <w:t>wprowadzono zmiany:</w:t>
      </w:r>
    </w:p>
    <w:p w14:paraId="3D4C04DE" w14:textId="71520A89" w:rsidR="001C34F4" w:rsidRDefault="00D710CE" w:rsidP="000E5FA5">
      <w:pPr>
        <w:pStyle w:val="Akapitzlist"/>
        <w:numPr>
          <w:ilvl w:val="0"/>
          <w:numId w:val="18"/>
        </w:numPr>
        <w:jc w:val="both"/>
      </w:pPr>
      <w:r>
        <w:t xml:space="preserve">W sekcji 1.1.1 </w:t>
      </w:r>
      <w:r w:rsidRPr="000E5FA5">
        <w:rPr>
          <w:color w:val="0070C0"/>
        </w:rPr>
        <w:t>Odbiorca</w:t>
      </w:r>
      <w:r>
        <w:t xml:space="preserve"> dodano atrybut:</w:t>
      </w:r>
    </w:p>
    <w:p w14:paraId="3927D016" w14:textId="731F6ED8" w:rsidR="00D710CE" w:rsidRDefault="00D710CE" w:rsidP="000550FA">
      <w:pPr>
        <w:pStyle w:val="Akapitzlist"/>
        <w:numPr>
          <w:ilvl w:val="0"/>
          <w:numId w:val="17"/>
        </w:numPr>
        <w:spacing w:after="0"/>
        <w:jc w:val="both"/>
        <w:rPr>
          <w:color w:val="00B050"/>
        </w:rPr>
      </w:pPr>
      <w:r w:rsidRPr="00071DAB">
        <w:rPr>
          <w:color w:val="00B050"/>
        </w:rPr>
        <w:t>Zmiana nazwy</w:t>
      </w:r>
    </w:p>
    <w:p w14:paraId="17EC4C6F" w14:textId="4E0D3E69" w:rsidR="00CE627D" w:rsidRPr="00071DAB" w:rsidRDefault="00CE627D" w:rsidP="00CE627D">
      <w:pPr>
        <w:pStyle w:val="Akapitzlist"/>
        <w:spacing w:after="0"/>
        <w:ind w:left="1800"/>
        <w:jc w:val="both"/>
        <w:rPr>
          <w:color w:val="00B050"/>
        </w:rPr>
      </w:pPr>
      <w:r>
        <w:rPr>
          <w:highlight w:val="cyan"/>
        </w:rPr>
        <w:t xml:space="preserve">Oznaczenie tego atrybutu </w:t>
      </w:r>
      <w:r>
        <w:rPr>
          <w:highlight w:val="cyan"/>
        </w:rPr>
        <w:t>dotyczy przypadku, kiedy</w:t>
      </w:r>
      <w:r>
        <w:rPr>
          <w:highlight w:val="cyan"/>
        </w:rPr>
        <w:t xml:space="preserve"> Sprzedawca chce zgłosić zmianę nazwy lub imienia/nazwiska Klienta i może jednocześnie zgłosić zmianę adresu siedziby i adresu korespondencyjnego. Wybór opcji </w:t>
      </w:r>
      <w:r>
        <w:rPr>
          <w:color w:val="00B050"/>
          <w:highlight w:val="cyan"/>
        </w:rPr>
        <w:t xml:space="preserve">Zmiany nazwy </w:t>
      </w:r>
      <w:r>
        <w:rPr>
          <w:highlight w:val="cyan"/>
        </w:rPr>
        <w:t>blokuje zgłoszenie jednoczesnej zmiany innych atrybutów w tym samym komunikacie. Zgłoszenie jednoczesnej zmiany nazwy, adresów oraz innych parametrów umowy spowoduje odrzucenie zgłoszenia. Brak oznaczenia atrybutu oznacza, że w zgłoszeniu Sprzedawca może zmienić wszystkie parametry oprócz nazwy</w:t>
      </w:r>
      <w:r>
        <w:t xml:space="preserve">. </w:t>
      </w:r>
    </w:p>
    <w:p w14:paraId="577B8362" w14:textId="4C6DB61D" w:rsidR="00D710CE" w:rsidRDefault="00D710CE" w:rsidP="000E5FA5">
      <w:pPr>
        <w:pStyle w:val="Akapitzlist"/>
        <w:numPr>
          <w:ilvl w:val="0"/>
          <w:numId w:val="18"/>
        </w:numPr>
        <w:jc w:val="both"/>
      </w:pPr>
      <w:r>
        <w:t xml:space="preserve">Zmieniono obowiązkowość sekcji 1.1.1.1. </w:t>
      </w:r>
      <w:r w:rsidRPr="000E5FA5">
        <w:rPr>
          <w:color w:val="0070C0"/>
        </w:rPr>
        <w:t xml:space="preserve">Adres zamieszkania/ siedziby </w:t>
      </w:r>
      <w:r>
        <w:t>– z obowiązkowej na nieobowiązkową</w:t>
      </w:r>
    </w:p>
    <w:p w14:paraId="6BC22B08" w14:textId="4DB77FC3" w:rsidR="00F413C0" w:rsidRDefault="00F413C0" w:rsidP="000E5FA5">
      <w:pPr>
        <w:pStyle w:val="Akapitzlist"/>
        <w:numPr>
          <w:ilvl w:val="0"/>
          <w:numId w:val="18"/>
        </w:numPr>
        <w:jc w:val="both"/>
      </w:pPr>
      <w:r>
        <w:t xml:space="preserve">W sekcji 1.1.2 </w:t>
      </w:r>
      <w:r w:rsidRPr="000E5FA5">
        <w:rPr>
          <w:color w:val="0070C0"/>
        </w:rPr>
        <w:t>Charakterystyki PPE</w:t>
      </w:r>
      <w:r>
        <w:t xml:space="preserve">: </w:t>
      </w:r>
    </w:p>
    <w:p w14:paraId="2439D442" w14:textId="440AC206" w:rsidR="00D710CE" w:rsidRDefault="00F413C0" w:rsidP="001C34F4">
      <w:pPr>
        <w:pStyle w:val="Akapitzlist"/>
        <w:jc w:val="both"/>
      </w:pPr>
      <w:r>
        <w:t>usunięto atrybuty:</w:t>
      </w:r>
    </w:p>
    <w:p w14:paraId="32E9768E" w14:textId="40B1A454" w:rsidR="00F413C0" w:rsidRPr="00071DAB" w:rsidRDefault="00F413C0" w:rsidP="000E5FA5">
      <w:pPr>
        <w:pStyle w:val="Akapitzlist"/>
        <w:numPr>
          <w:ilvl w:val="0"/>
          <w:numId w:val="17"/>
        </w:numPr>
        <w:jc w:val="both"/>
        <w:rPr>
          <w:color w:val="FF0000"/>
        </w:rPr>
      </w:pPr>
      <w:r w:rsidRPr="00071DAB">
        <w:rPr>
          <w:color w:val="FF0000"/>
        </w:rPr>
        <w:t>Moc bezpieczna stała w ciągu roku</w:t>
      </w:r>
    </w:p>
    <w:p w14:paraId="79FA0C98" w14:textId="7C8C9CF6" w:rsidR="00F413C0" w:rsidRPr="00071DAB" w:rsidRDefault="00F413C0" w:rsidP="000E5FA5">
      <w:pPr>
        <w:pStyle w:val="Akapitzlist"/>
        <w:numPr>
          <w:ilvl w:val="0"/>
          <w:numId w:val="17"/>
        </w:numPr>
        <w:jc w:val="both"/>
        <w:rPr>
          <w:color w:val="FF0000"/>
        </w:rPr>
      </w:pPr>
      <w:r w:rsidRPr="00071DAB">
        <w:rPr>
          <w:color w:val="FF0000"/>
        </w:rPr>
        <w:t>Jednostka mocy bezpiecznej</w:t>
      </w:r>
    </w:p>
    <w:p w14:paraId="396E7A36" w14:textId="11E211D2" w:rsidR="00F413C0" w:rsidRDefault="00F413C0" w:rsidP="001C34F4">
      <w:pPr>
        <w:pStyle w:val="Akapitzlist"/>
        <w:jc w:val="both"/>
      </w:pPr>
      <w:r>
        <w:t>dodano atrybuty:</w:t>
      </w:r>
    </w:p>
    <w:p w14:paraId="604650E7" w14:textId="160CF381" w:rsidR="00F413C0" w:rsidRPr="00071DAB" w:rsidRDefault="00F413C0" w:rsidP="000E5FA5">
      <w:pPr>
        <w:pStyle w:val="Akapitzlist"/>
        <w:numPr>
          <w:ilvl w:val="0"/>
          <w:numId w:val="17"/>
        </w:numPr>
        <w:jc w:val="both"/>
        <w:rPr>
          <w:color w:val="00B050"/>
        </w:rPr>
      </w:pPr>
      <w:r w:rsidRPr="00071DAB">
        <w:rPr>
          <w:color w:val="00B050"/>
        </w:rPr>
        <w:t>Zamawianie mocy umownej stałej w ciągu roku</w:t>
      </w:r>
    </w:p>
    <w:p w14:paraId="09E65111" w14:textId="1B9894FC" w:rsidR="00F413C0" w:rsidRPr="00071DAB" w:rsidRDefault="00F413C0" w:rsidP="000E5FA5">
      <w:pPr>
        <w:pStyle w:val="Akapitzlist"/>
        <w:numPr>
          <w:ilvl w:val="0"/>
          <w:numId w:val="17"/>
        </w:numPr>
        <w:jc w:val="both"/>
        <w:rPr>
          <w:color w:val="00B050"/>
        </w:rPr>
      </w:pPr>
      <w:r w:rsidRPr="00071DAB">
        <w:rPr>
          <w:color w:val="00B050"/>
        </w:rPr>
        <w:t>Jednostka zamawiania mocy umownej</w:t>
      </w:r>
    </w:p>
    <w:p w14:paraId="47984FB4" w14:textId="10A3EA4A" w:rsidR="00F413C0" w:rsidRDefault="00F413C0" w:rsidP="000E5FA5">
      <w:pPr>
        <w:pStyle w:val="Akapitzlist"/>
        <w:numPr>
          <w:ilvl w:val="0"/>
          <w:numId w:val="18"/>
        </w:numPr>
        <w:jc w:val="both"/>
      </w:pPr>
      <w:r>
        <w:t xml:space="preserve">W sekcji 1.2.2 </w:t>
      </w:r>
      <w:r w:rsidRPr="000E5FA5">
        <w:rPr>
          <w:color w:val="0070C0"/>
        </w:rPr>
        <w:t>Zamawianie mocy umownej</w:t>
      </w:r>
      <w:r>
        <w:t>:</w:t>
      </w:r>
    </w:p>
    <w:p w14:paraId="5659B3B3" w14:textId="311DC248" w:rsidR="00F413C0" w:rsidRDefault="00F413C0" w:rsidP="000E5FA5">
      <w:pPr>
        <w:pStyle w:val="Akapitzlist"/>
        <w:numPr>
          <w:ilvl w:val="0"/>
          <w:numId w:val="17"/>
        </w:numPr>
        <w:jc w:val="both"/>
      </w:pPr>
      <w:r>
        <w:t>Dodano określenie obowiązkowości sekcji (dotychczas jej brakowało)</w:t>
      </w:r>
    </w:p>
    <w:p w14:paraId="5DB31407" w14:textId="34D6F8AB" w:rsidR="00F413C0" w:rsidRDefault="00F413C0" w:rsidP="000E5FA5">
      <w:pPr>
        <w:pStyle w:val="Akapitzlist"/>
        <w:numPr>
          <w:ilvl w:val="0"/>
          <w:numId w:val="17"/>
        </w:numPr>
        <w:jc w:val="both"/>
      </w:pPr>
      <w:r>
        <w:t>Wprowadzono obowiązkowość wypełniania wartości mocy umownej dla wszystkich 12 miesięcy w zamówieniu</w:t>
      </w:r>
    </w:p>
    <w:p w14:paraId="424F39EE" w14:textId="36300F26" w:rsidR="00F413C0" w:rsidRDefault="000E5FA5" w:rsidP="000E5FA5">
      <w:pPr>
        <w:pStyle w:val="Akapitzlist"/>
        <w:numPr>
          <w:ilvl w:val="0"/>
          <w:numId w:val="18"/>
        </w:numPr>
        <w:jc w:val="both"/>
      </w:pPr>
      <w:r>
        <w:t xml:space="preserve">Usunięto sekcję 1.2.3 </w:t>
      </w:r>
      <w:r w:rsidRPr="000E5FA5">
        <w:rPr>
          <w:color w:val="0070C0"/>
        </w:rPr>
        <w:t>Moc bezpieczna w rozbiciu na miesiące</w:t>
      </w:r>
    </w:p>
    <w:p w14:paraId="5AE1665A" w14:textId="3692A031" w:rsidR="003C0324" w:rsidRDefault="003C0324" w:rsidP="001D2638">
      <w:pPr>
        <w:pStyle w:val="Akapitzlist"/>
        <w:numPr>
          <w:ilvl w:val="0"/>
          <w:numId w:val="1"/>
        </w:numPr>
        <w:jc w:val="both"/>
      </w:pPr>
      <w:r>
        <w:t xml:space="preserve">W komunikatach </w:t>
      </w:r>
      <w:r w:rsidR="005E6A9A" w:rsidRPr="00DC6796">
        <w:rPr>
          <w:b/>
          <w:bCs/>
          <w:i/>
          <w:iCs/>
        </w:rPr>
        <w:t>7.2</w:t>
      </w:r>
      <w:r w:rsidR="00DC6796" w:rsidRPr="00DC6796">
        <w:rPr>
          <w:b/>
          <w:bCs/>
          <w:i/>
          <w:iCs/>
        </w:rPr>
        <w:t>1</w:t>
      </w:r>
      <w:r w:rsidR="005E6A9A" w:rsidRPr="00DC6796">
        <w:rPr>
          <w:b/>
          <w:bCs/>
          <w:i/>
          <w:iCs/>
        </w:rPr>
        <w:t>.</w:t>
      </w:r>
      <w:r w:rsidR="005E6A9A" w:rsidRPr="005E6A9A">
        <w:rPr>
          <w:i/>
          <w:iCs/>
        </w:rPr>
        <w:t xml:space="preserve"> </w:t>
      </w:r>
      <w:r w:rsidRPr="005E6A9A">
        <w:rPr>
          <w:b/>
          <w:bCs/>
          <w:i/>
          <w:iCs/>
        </w:rPr>
        <w:t>Zgłoszenie umowy obiektu wirtualnego OV1</w:t>
      </w:r>
      <w:r>
        <w:t xml:space="preserve"> </w:t>
      </w:r>
      <w:r w:rsidR="00924798">
        <w:t>[</w:t>
      </w:r>
      <w:proofErr w:type="spellStart"/>
      <w:r w:rsidR="00924798">
        <w:t>CombinerAgreement</w:t>
      </w:r>
      <w:proofErr w:type="spellEnd"/>
      <w:r w:rsidR="00924798">
        <w:t xml:space="preserve">] </w:t>
      </w:r>
      <w:r>
        <w:t xml:space="preserve">oraz </w:t>
      </w:r>
      <w:r w:rsidR="005E6A9A" w:rsidRPr="00DC6796">
        <w:rPr>
          <w:b/>
          <w:bCs/>
        </w:rPr>
        <w:t>7</w:t>
      </w:r>
      <w:r w:rsidR="005E6A9A" w:rsidRPr="00DC6796">
        <w:rPr>
          <w:b/>
          <w:bCs/>
          <w:i/>
          <w:iCs/>
        </w:rPr>
        <w:t>.2</w:t>
      </w:r>
      <w:r w:rsidR="00DC6796" w:rsidRPr="00DC6796">
        <w:rPr>
          <w:b/>
          <w:bCs/>
          <w:i/>
          <w:iCs/>
        </w:rPr>
        <w:t>2</w:t>
      </w:r>
      <w:r w:rsidR="005E6A9A" w:rsidRPr="00DA4071">
        <w:rPr>
          <w:b/>
          <w:bCs/>
          <w:i/>
          <w:iCs/>
        </w:rPr>
        <w:t>.</w:t>
      </w:r>
      <w:r w:rsidR="005E6A9A" w:rsidRPr="005E6A9A">
        <w:rPr>
          <w:i/>
          <w:iCs/>
        </w:rPr>
        <w:t xml:space="preserve"> </w:t>
      </w:r>
      <w:r w:rsidRPr="005E6A9A">
        <w:rPr>
          <w:b/>
          <w:bCs/>
          <w:i/>
          <w:iCs/>
        </w:rPr>
        <w:t>Dołączenie PPE do obiektu wirtualnego OV1</w:t>
      </w:r>
      <w:r w:rsidRPr="005E6A9A">
        <w:rPr>
          <w:b/>
          <w:bCs/>
        </w:rPr>
        <w:t xml:space="preserve"> </w:t>
      </w:r>
      <w:r w:rsidR="00924798" w:rsidRPr="009267CD">
        <w:t>[</w:t>
      </w:r>
      <w:proofErr w:type="spellStart"/>
      <w:r w:rsidR="00924798" w:rsidRPr="009267CD">
        <w:t>ConnectToCombiner</w:t>
      </w:r>
      <w:proofErr w:type="spellEnd"/>
      <w:r w:rsidR="00924798" w:rsidRPr="009267CD">
        <w:t>]</w:t>
      </w:r>
      <w:r w:rsidR="009267CD">
        <w:rPr>
          <w:b/>
          <w:bCs/>
        </w:rPr>
        <w:t xml:space="preserve"> </w:t>
      </w:r>
      <w:r w:rsidR="005E6A9A">
        <w:t>wprowadzono zmiany:</w:t>
      </w:r>
    </w:p>
    <w:p w14:paraId="55BF75C8" w14:textId="29F81890" w:rsidR="00E943AC" w:rsidRDefault="00137F2A" w:rsidP="00137F2A">
      <w:pPr>
        <w:pStyle w:val="Akapitzlist"/>
        <w:numPr>
          <w:ilvl w:val="0"/>
          <w:numId w:val="21"/>
        </w:numPr>
        <w:jc w:val="both"/>
      </w:pPr>
      <w:r>
        <w:t xml:space="preserve">W sekcji 1.2 </w:t>
      </w:r>
      <w:r w:rsidRPr="00137F2A">
        <w:rPr>
          <w:color w:val="0070C0"/>
        </w:rPr>
        <w:t xml:space="preserve">Dodatkowe dane zgłoszenia </w:t>
      </w:r>
      <w:r w:rsidR="00E943AC">
        <w:t>Usunięto atrybuty:</w:t>
      </w:r>
    </w:p>
    <w:p w14:paraId="725AA495" w14:textId="5E2F24E0" w:rsidR="00E943AC" w:rsidRPr="00071DAB" w:rsidRDefault="00E943AC" w:rsidP="00137F2A">
      <w:pPr>
        <w:pStyle w:val="Akapitzlist"/>
        <w:numPr>
          <w:ilvl w:val="0"/>
          <w:numId w:val="17"/>
        </w:numPr>
        <w:jc w:val="both"/>
        <w:rPr>
          <w:color w:val="FF0000"/>
        </w:rPr>
      </w:pPr>
      <w:r w:rsidRPr="00071DAB">
        <w:rPr>
          <w:color w:val="FF0000"/>
        </w:rPr>
        <w:t>Moc bezpieczna stała w ciągu roku</w:t>
      </w:r>
    </w:p>
    <w:p w14:paraId="51A69CBC" w14:textId="4801D77B" w:rsidR="00E943AC" w:rsidRPr="00071DAB" w:rsidRDefault="00E943AC" w:rsidP="00137F2A">
      <w:pPr>
        <w:pStyle w:val="Akapitzlist"/>
        <w:numPr>
          <w:ilvl w:val="0"/>
          <w:numId w:val="17"/>
        </w:numPr>
        <w:jc w:val="both"/>
        <w:rPr>
          <w:color w:val="FF0000"/>
        </w:rPr>
      </w:pPr>
      <w:r w:rsidRPr="00071DAB">
        <w:rPr>
          <w:color w:val="FF0000"/>
        </w:rPr>
        <w:t>Jednostka mocy bezpiecznej</w:t>
      </w:r>
    </w:p>
    <w:p w14:paraId="09B459C9" w14:textId="223CDD0D" w:rsidR="00E943AC" w:rsidRDefault="00E943AC" w:rsidP="00137F2A">
      <w:pPr>
        <w:pStyle w:val="Akapitzlist"/>
        <w:numPr>
          <w:ilvl w:val="0"/>
          <w:numId w:val="21"/>
        </w:numPr>
        <w:jc w:val="both"/>
      </w:pPr>
      <w:r>
        <w:lastRenderedPageBreak/>
        <w:t>Usunięto sekcję</w:t>
      </w:r>
      <w:r w:rsidR="00137F2A">
        <w:t xml:space="preserve"> 1.2.2 </w:t>
      </w:r>
      <w:r w:rsidRPr="00137F2A">
        <w:rPr>
          <w:color w:val="0070C0"/>
        </w:rPr>
        <w:t>Moc bezpieczna w rozbiciu na miesiące</w:t>
      </w:r>
    </w:p>
    <w:p w14:paraId="60C8A94F" w14:textId="77777777" w:rsidR="00EC4E09" w:rsidRDefault="00480ABB" w:rsidP="004526D5">
      <w:pPr>
        <w:pStyle w:val="Akapitzlist"/>
        <w:numPr>
          <w:ilvl w:val="0"/>
          <w:numId w:val="1"/>
        </w:numPr>
        <w:jc w:val="both"/>
      </w:pPr>
      <w:r>
        <w:t>W komunikatach</w:t>
      </w:r>
      <w:r w:rsidR="00A110E0">
        <w:t>:</w:t>
      </w:r>
      <w:r>
        <w:t xml:space="preserve"> </w:t>
      </w:r>
    </w:p>
    <w:p w14:paraId="0D14293F" w14:textId="77777777" w:rsidR="00B811B8" w:rsidRDefault="00B811B8" w:rsidP="004526D5">
      <w:pPr>
        <w:pStyle w:val="Akapitzlist"/>
        <w:numPr>
          <w:ilvl w:val="0"/>
          <w:numId w:val="3"/>
        </w:numPr>
        <w:jc w:val="both"/>
      </w:pPr>
      <w:r w:rsidRPr="003F46A3">
        <w:rPr>
          <w:b/>
          <w:i/>
        </w:rPr>
        <w:t>7.3.1.  Zawiadomienie o zmianie danych PPE</w:t>
      </w:r>
      <w:r w:rsidR="006A5A84">
        <w:rPr>
          <w:b/>
          <w:i/>
        </w:rPr>
        <w:t xml:space="preserve"> </w:t>
      </w:r>
      <w:r w:rsidR="00E25942">
        <w:t>[</w:t>
      </w:r>
      <w:proofErr w:type="spellStart"/>
      <w:r w:rsidR="006A5A84">
        <w:t>NotifyMP</w:t>
      </w:r>
      <w:r w:rsidR="00D41ADE">
        <w:t>C</w:t>
      </w:r>
      <w:r w:rsidR="006A5A84">
        <w:t>haracteristics</w:t>
      </w:r>
      <w:proofErr w:type="spellEnd"/>
      <w:r w:rsidR="006A5A84">
        <w:t>]</w:t>
      </w:r>
      <w:r>
        <w:t>,</w:t>
      </w:r>
    </w:p>
    <w:p w14:paraId="597F1ECA" w14:textId="77777777" w:rsidR="00B811B8" w:rsidRDefault="00B811B8" w:rsidP="004526D5">
      <w:pPr>
        <w:pStyle w:val="Akapitzlist"/>
        <w:numPr>
          <w:ilvl w:val="0"/>
          <w:numId w:val="3"/>
        </w:numPr>
        <w:jc w:val="both"/>
      </w:pPr>
      <w:r w:rsidRPr="00EE05E1">
        <w:rPr>
          <w:b/>
          <w:i/>
        </w:rPr>
        <w:t xml:space="preserve">7.4.3. </w:t>
      </w:r>
      <w:r w:rsidR="00EE05E1" w:rsidRPr="00EE05E1">
        <w:rPr>
          <w:b/>
          <w:i/>
        </w:rPr>
        <w:t>Udostępnione dane p</w:t>
      </w:r>
      <w:r w:rsidRPr="00EE05E1">
        <w:rPr>
          <w:b/>
          <w:i/>
        </w:rPr>
        <w:t>aszport</w:t>
      </w:r>
      <w:r w:rsidR="00EE05E1" w:rsidRPr="00EE05E1">
        <w:rPr>
          <w:b/>
          <w:i/>
        </w:rPr>
        <w:t>u PPE</w:t>
      </w:r>
      <w:r w:rsidR="000D0405">
        <w:rPr>
          <w:b/>
          <w:i/>
        </w:rPr>
        <w:t xml:space="preserve"> </w:t>
      </w:r>
      <w:r w:rsidR="00E25942">
        <w:t>[</w:t>
      </w:r>
      <w:proofErr w:type="spellStart"/>
      <w:r w:rsidR="00391B93">
        <w:t>UpfrontMP</w:t>
      </w:r>
      <w:r w:rsidR="00D41ADE">
        <w:t>C</w:t>
      </w:r>
      <w:r w:rsidR="00391B93">
        <w:t>haracteristics</w:t>
      </w:r>
      <w:proofErr w:type="spellEnd"/>
      <w:r w:rsidR="00391B93">
        <w:t>]</w:t>
      </w:r>
      <w:r>
        <w:t>,</w:t>
      </w:r>
    </w:p>
    <w:p w14:paraId="7CCD2177" w14:textId="77777777" w:rsidR="00B811B8" w:rsidRDefault="00B811B8" w:rsidP="004526D5">
      <w:pPr>
        <w:pStyle w:val="Akapitzlist"/>
        <w:numPr>
          <w:ilvl w:val="0"/>
          <w:numId w:val="3"/>
        </w:numPr>
        <w:jc w:val="both"/>
      </w:pPr>
      <w:r w:rsidRPr="00EE05E1">
        <w:rPr>
          <w:b/>
          <w:i/>
        </w:rPr>
        <w:t>7.5.3. Udostępnione dane PPE</w:t>
      </w:r>
      <w:r w:rsidR="000D0405">
        <w:rPr>
          <w:b/>
          <w:i/>
        </w:rPr>
        <w:t xml:space="preserve"> </w:t>
      </w:r>
      <w:r w:rsidR="00E25942">
        <w:t>[</w:t>
      </w:r>
      <w:proofErr w:type="spellStart"/>
      <w:r w:rsidR="00391B93">
        <w:t>MP</w:t>
      </w:r>
      <w:r w:rsidR="00D41ADE">
        <w:t>C</w:t>
      </w:r>
      <w:r w:rsidR="00391B93">
        <w:t>haracteristics</w:t>
      </w:r>
      <w:proofErr w:type="spellEnd"/>
      <w:r w:rsidR="00391B93">
        <w:t>]</w:t>
      </w:r>
      <w:r>
        <w:t>,</w:t>
      </w:r>
    </w:p>
    <w:p w14:paraId="6489DC9F" w14:textId="6AF5DDEC" w:rsidR="00B811B8" w:rsidRDefault="00B811B8" w:rsidP="004526D5">
      <w:pPr>
        <w:pStyle w:val="Akapitzlist"/>
        <w:numPr>
          <w:ilvl w:val="0"/>
          <w:numId w:val="3"/>
        </w:numPr>
        <w:jc w:val="both"/>
      </w:pPr>
      <w:r w:rsidRPr="00DC6796">
        <w:rPr>
          <w:b/>
          <w:i/>
        </w:rPr>
        <w:t>7.</w:t>
      </w:r>
      <w:r w:rsidR="00DC6796" w:rsidRPr="00DC6796">
        <w:rPr>
          <w:b/>
          <w:i/>
        </w:rPr>
        <w:t>19</w:t>
      </w:r>
      <w:r w:rsidRPr="00DC6796">
        <w:rPr>
          <w:b/>
          <w:i/>
        </w:rPr>
        <w:t>.1.</w:t>
      </w:r>
      <w:r w:rsidRPr="00EE05E1">
        <w:rPr>
          <w:b/>
          <w:i/>
        </w:rPr>
        <w:t xml:space="preserve"> Uruchomienie sprzedaży rezerwowej</w:t>
      </w:r>
      <w:r w:rsidR="00E25942">
        <w:t xml:space="preserve"> [</w:t>
      </w:r>
      <w:proofErr w:type="spellStart"/>
      <w:r w:rsidR="00391B93">
        <w:t>Notify</w:t>
      </w:r>
      <w:r w:rsidR="00D41ADE">
        <w:t>R</w:t>
      </w:r>
      <w:r w:rsidR="00391B93">
        <w:t>eserve</w:t>
      </w:r>
      <w:r w:rsidR="00D41ADE">
        <w:t>S</w:t>
      </w:r>
      <w:r w:rsidR="00391B93">
        <w:t>upply</w:t>
      </w:r>
      <w:proofErr w:type="spellEnd"/>
      <w:r w:rsidR="00391B93">
        <w:t>]</w:t>
      </w:r>
      <w:r>
        <w:t>,</w:t>
      </w:r>
    </w:p>
    <w:p w14:paraId="17E1AC7C" w14:textId="68E998BD" w:rsidR="00B811B8" w:rsidRDefault="00B811B8" w:rsidP="004526D5">
      <w:pPr>
        <w:pStyle w:val="Akapitzlist"/>
        <w:numPr>
          <w:ilvl w:val="0"/>
          <w:numId w:val="3"/>
        </w:numPr>
        <w:jc w:val="both"/>
      </w:pPr>
      <w:r w:rsidRPr="00DC6796">
        <w:rPr>
          <w:b/>
          <w:i/>
        </w:rPr>
        <w:t>7.</w:t>
      </w:r>
      <w:r w:rsidR="00DC6796" w:rsidRPr="00DC6796">
        <w:rPr>
          <w:b/>
          <w:i/>
        </w:rPr>
        <w:t>19</w:t>
      </w:r>
      <w:r w:rsidRPr="00DC6796">
        <w:rPr>
          <w:b/>
          <w:i/>
        </w:rPr>
        <w:t>.2.</w:t>
      </w:r>
      <w:r w:rsidRPr="00EE05E1">
        <w:rPr>
          <w:b/>
          <w:i/>
        </w:rPr>
        <w:t xml:space="preserve"> Uruchomienie sprzedaży z urzędu</w:t>
      </w:r>
      <w:r w:rsidR="00E25942">
        <w:t xml:space="preserve"> [</w:t>
      </w:r>
      <w:proofErr w:type="spellStart"/>
      <w:r w:rsidR="00391B93">
        <w:t>Notify</w:t>
      </w:r>
      <w:r w:rsidR="00D41ADE">
        <w:t>S</w:t>
      </w:r>
      <w:r w:rsidR="00391B93">
        <w:t>upplyof</w:t>
      </w:r>
      <w:r w:rsidR="00D41ADE">
        <w:t>L</w:t>
      </w:r>
      <w:r w:rsidR="00391B93">
        <w:t>ast</w:t>
      </w:r>
      <w:r w:rsidR="00D41ADE">
        <w:t>R</w:t>
      </w:r>
      <w:r w:rsidR="00391B93">
        <w:t>esort</w:t>
      </w:r>
      <w:proofErr w:type="spellEnd"/>
      <w:r w:rsidR="00391B93">
        <w:t>]</w:t>
      </w:r>
      <w:r>
        <w:t>,</w:t>
      </w:r>
    </w:p>
    <w:p w14:paraId="64D6EE0B" w14:textId="7D1F83F8" w:rsidR="00DA4071" w:rsidRDefault="00DA4071" w:rsidP="00C96748">
      <w:pPr>
        <w:pStyle w:val="Akapitzlist"/>
        <w:numPr>
          <w:ilvl w:val="0"/>
          <w:numId w:val="22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W sekcji 1.3 </w:t>
      </w:r>
      <w:r w:rsidRPr="004A3841">
        <w:rPr>
          <w:noProof/>
          <w:color w:val="0070C0"/>
          <w:lang w:eastAsia="pl-PL"/>
        </w:rPr>
        <w:t xml:space="preserve">Charakterystyki PPE </w:t>
      </w:r>
      <w:r>
        <w:rPr>
          <w:noProof/>
          <w:lang w:eastAsia="pl-PL"/>
        </w:rPr>
        <w:t xml:space="preserve">wprowadzono zmiany: </w:t>
      </w:r>
    </w:p>
    <w:p w14:paraId="5F5A6BD6" w14:textId="54B8E614" w:rsidR="00DA4071" w:rsidRDefault="00DA4071" w:rsidP="0032092A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t>Usunięto atrybuty:</w:t>
      </w:r>
    </w:p>
    <w:p w14:paraId="545F74BE" w14:textId="0B333079" w:rsidR="00DA4071" w:rsidRPr="00071DAB" w:rsidRDefault="00DA4071" w:rsidP="00C96748">
      <w:pPr>
        <w:pStyle w:val="Akapitzlist"/>
        <w:numPr>
          <w:ilvl w:val="0"/>
          <w:numId w:val="17"/>
        </w:numPr>
        <w:jc w:val="both"/>
        <w:rPr>
          <w:color w:val="FF0000"/>
        </w:rPr>
      </w:pPr>
      <w:r w:rsidRPr="00071DAB">
        <w:rPr>
          <w:color w:val="FF0000"/>
        </w:rPr>
        <w:t>Moc bezpieczna stała w ciągu roku</w:t>
      </w:r>
    </w:p>
    <w:p w14:paraId="45D744D5" w14:textId="56056513" w:rsidR="00DA4071" w:rsidRPr="00071DAB" w:rsidRDefault="00DA4071" w:rsidP="00C96748">
      <w:pPr>
        <w:pStyle w:val="Akapitzlist"/>
        <w:numPr>
          <w:ilvl w:val="0"/>
          <w:numId w:val="17"/>
        </w:numPr>
        <w:jc w:val="both"/>
        <w:rPr>
          <w:color w:val="FF0000"/>
        </w:rPr>
      </w:pPr>
      <w:r w:rsidRPr="00071DAB">
        <w:rPr>
          <w:color w:val="FF0000"/>
        </w:rPr>
        <w:t>Jednostka mocy bezpiecznej</w:t>
      </w:r>
    </w:p>
    <w:p w14:paraId="6E58BB7A" w14:textId="24CE64EE" w:rsidR="00DA4071" w:rsidRDefault="00DA4071" w:rsidP="0032092A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t>Zmieniono opis pola dla atrybutu:</w:t>
      </w:r>
    </w:p>
    <w:p w14:paraId="1D02CBCA" w14:textId="7B0CC43A" w:rsidR="00DA4071" w:rsidRPr="00071DAB" w:rsidRDefault="00DA4071" w:rsidP="00C96748">
      <w:pPr>
        <w:pStyle w:val="Akapitzlist"/>
        <w:numPr>
          <w:ilvl w:val="0"/>
          <w:numId w:val="17"/>
        </w:numPr>
        <w:jc w:val="both"/>
        <w:rPr>
          <w:color w:val="00B050"/>
        </w:rPr>
      </w:pPr>
      <w:r w:rsidRPr="00071DAB">
        <w:rPr>
          <w:color w:val="00B050"/>
        </w:rPr>
        <w:t>Sposób zamawiania mocy</w:t>
      </w:r>
    </w:p>
    <w:p w14:paraId="14E176DA" w14:textId="6F5D4728" w:rsidR="00DA4071" w:rsidRDefault="00DA4071" w:rsidP="0032092A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t>Dodano atrybuty:</w:t>
      </w:r>
    </w:p>
    <w:p w14:paraId="687FC89C" w14:textId="096C1CAC" w:rsidR="00DA4071" w:rsidRPr="00071DAB" w:rsidRDefault="00DA4071" w:rsidP="00C96748">
      <w:pPr>
        <w:pStyle w:val="Akapitzlist"/>
        <w:numPr>
          <w:ilvl w:val="0"/>
          <w:numId w:val="17"/>
        </w:numPr>
        <w:jc w:val="both"/>
        <w:rPr>
          <w:color w:val="00B050"/>
        </w:rPr>
      </w:pPr>
      <w:r w:rsidRPr="00071DAB">
        <w:rPr>
          <w:color w:val="00B050"/>
        </w:rPr>
        <w:t>Rodzaj niestandardowego rozliczenia</w:t>
      </w:r>
    </w:p>
    <w:p w14:paraId="13949721" w14:textId="59B3CB7C" w:rsidR="00DA4071" w:rsidRPr="00071DAB" w:rsidRDefault="00DA4071" w:rsidP="00C96748">
      <w:pPr>
        <w:pStyle w:val="Akapitzlist"/>
        <w:numPr>
          <w:ilvl w:val="0"/>
          <w:numId w:val="17"/>
        </w:numPr>
        <w:jc w:val="both"/>
        <w:rPr>
          <w:color w:val="00B050"/>
        </w:rPr>
      </w:pPr>
      <w:r w:rsidRPr="00071DAB">
        <w:rPr>
          <w:color w:val="00B050"/>
        </w:rPr>
        <w:t>Kod PPE potrzeb własnych, znajdującego się wewnątrz instalcji klienta</w:t>
      </w:r>
    </w:p>
    <w:p w14:paraId="7FDE1D47" w14:textId="36A3DD4E" w:rsidR="00DA4071" w:rsidRDefault="00DA4071" w:rsidP="00C96748">
      <w:pPr>
        <w:pStyle w:val="Akapitzlist"/>
        <w:numPr>
          <w:ilvl w:val="0"/>
          <w:numId w:val="22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Usunięto sekcję 1.3.2 </w:t>
      </w:r>
      <w:r w:rsidR="00C96748" w:rsidRPr="004A3841">
        <w:rPr>
          <w:noProof/>
          <w:color w:val="0070C0"/>
          <w:lang w:eastAsia="pl-PL"/>
        </w:rPr>
        <w:t>Moc bezpieczna w rozbiciu na miesiące</w:t>
      </w:r>
    </w:p>
    <w:p w14:paraId="7A36D6E5" w14:textId="4F0D3ED6" w:rsidR="003C0FFE" w:rsidRDefault="000550FA" w:rsidP="003C0FFE">
      <w:pPr>
        <w:pStyle w:val="Akapitzlist"/>
        <w:numPr>
          <w:ilvl w:val="0"/>
          <w:numId w:val="1"/>
        </w:numPr>
        <w:jc w:val="both"/>
      </w:pPr>
      <w:r>
        <w:t>Z rozdziału 7</w:t>
      </w:r>
      <w:r w:rsidR="003C0FFE">
        <w:t xml:space="preserve"> zostają usunięte </w:t>
      </w:r>
      <w:r>
        <w:t>pod</w:t>
      </w:r>
      <w:r w:rsidR="003C0FFE">
        <w:t>rozdziały dotyczące obsługi zgłoszeń Podmiotów odpowiedzialnych za bilansowanie (POB)</w:t>
      </w:r>
      <w:r w:rsidR="004D6166">
        <w:t>:</w:t>
      </w:r>
    </w:p>
    <w:p w14:paraId="0EE63C1F" w14:textId="1725773A" w:rsidR="004D6166" w:rsidRDefault="000550FA" w:rsidP="009C7A4B">
      <w:pPr>
        <w:pStyle w:val="Akapitzlist"/>
        <w:numPr>
          <w:ilvl w:val="0"/>
          <w:numId w:val="15"/>
        </w:numPr>
        <w:jc w:val="both"/>
      </w:pPr>
      <w:r>
        <w:t xml:space="preserve">7.7. </w:t>
      </w:r>
      <w:r w:rsidR="004D6166">
        <w:t xml:space="preserve">Zgłoszenie zmiany POB </w:t>
      </w:r>
      <w:r w:rsidR="008932C7">
        <w:t>s</w:t>
      </w:r>
      <w:r w:rsidR="004D6166">
        <w:t>przedawcy,</w:t>
      </w:r>
    </w:p>
    <w:p w14:paraId="2DEF01F4" w14:textId="4A2724CE" w:rsidR="004D6166" w:rsidRDefault="000550FA" w:rsidP="009C7A4B">
      <w:pPr>
        <w:pStyle w:val="Akapitzlist"/>
        <w:numPr>
          <w:ilvl w:val="0"/>
          <w:numId w:val="15"/>
        </w:numPr>
        <w:jc w:val="both"/>
      </w:pPr>
      <w:r>
        <w:t xml:space="preserve">7.8. </w:t>
      </w:r>
      <w:r w:rsidR="004D6166">
        <w:t>Zgłoszenie ustanowienia/ zmiany POB wytwórcy,</w:t>
      </w:r>
    </w:p>
    <w:p w14:paraId="7D250F52" w14:textId="1E5B8AF1" w:rsidR="008932C7" w:rsidRDefault="000550FA" w:rsidP="009C7A4B">
      <w:pPr>
        <w:pStyle w:val="Akapitzlist"/>
        <w:numPr>
          <w:ilvl w:val="0"/>
          <w:numId w:val="15"/>
        </w:numPr>
        <w:jc w:val="both"/>
      </w:pPr>
      <w:r>
        <w:t xml:space="preserve">7.11. </w:t>
      </w:r>
      <w:r w:rsidR="008932C7">
        <w:t>Zawiadomienie o zmianie POB sprzedawcy,</w:t>
      </w:r>
    </w:p>
    <w:p w14:paraId="7AFC8CBE" w14:textId="6691E196" w:rsidR="008932C7" w:rsidRDefault="000550FA" w:rsidP="009C7A4B">
      <w:pPr>
        <w:pStyle w:val="Akapitzlist"/>
        <w:numPr>
          <w:ilvl w:val="0"/>
          <w:numId w:val="15"/>
        </w:numPr>
        <w:jc w:val="both"/>
      </w:pPr>
      <w:r>
        <w:t xml:space="preserve">7.13. </w:t>
      </w:r>
      <w:r w:rsidR="008932C7">
        <w:t>Zgłoszenie zakończenia bilansowania.</w:t>
      </w:r>
    </w:p>
    <w:p w14:paraId="68E26852" w14:textId="4A1FFC37" w:rsidR="008932C7" w:rsidRDefault="009C7A4B" w:rsidP="004D6166">
      <w:pPr>
        <w:pStyle w:val="Akapitzlist"/>
        <w:jc w:val="both"/>
      </w:pPr>
      <w:r>
        <w:t xml:space="preserve">Operator nie będzie wykorzystywał tych komunikatów i rekomendowane jest korzystanie z formularzy stanowiących Załącznik nr 2 do Generalnej umowy dystrybucji (GUD) oraz Załącznik nr 6 do Generalnej umowy dystrybucji dla usługi kompleksowej (GUD-k). </w:t>
      </w:r>
    </w:p>
    <w:p w14:paraId="481B96EF" w14:textId="53967F20" w:rsidR="009C7A4B" w:rsidRDefault="009C7A4B" w:rsidP="004D6166">
      <w:pPr>
        <w:pStyle w:val="Akapitzlist"/>
        <w:jc w:val="both"/>
      </w:pPr>
      <w:r>
        <w:t xml:space="preserve">W związku z tym zmianie ulega numeracja wszystkich </w:t>
      </w:r>
      <w:r w:rsidR="000550FA">
        <w:t>pod</w:t>
      </w:r>
      <w:r>
        <w:t xml:space="preserve">rozdziałów następujących po usuniętych. </w:t>
      </w:r>
    </w:p>
    <w:p w14:paraId="67A27A4F" w14:textId="77777777" w:rsidR="004D6166" w:rsidRDefault="004D6166" w:rsidP="004D6166">
      <w:pPr>
        <w:pStyle w:val="Akapitzlist"/>
        <w:jc w:val="both"/>
      </w:pPr>
    </w:p>
    <w:sectPr w:rsidR="004D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A4"/>
    <w:multiLevelType w:val="hybridMultilevel"/>
    <w:tmpl w:val="8508FD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0000E"/>
    <w:multiLevelType w:val="hybridMultilevel"/>
    <w:tmpl w:val="8DF0B3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91574"/>
    <w:multiLevelType w:val="hybridMultilevel"/>
    <w:tmpl w:val="66D8E85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B4DE9"/>
    <w:multiLevelType w:val="hybridMultilevel"/>
    <w:tmpl w:val="5CA0E9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20D96"/>
    <w:multiLevelType w:val="hybridMultilevel"/>
    <w:tmpl w:val="AA061584"/>
    <w:lvl w:ilvl="0" w:tplc="7D74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539DD"/>
    <w:multiLevelType w:val="hybridMultilevel"/>
    <w:tmpl w:val="60BEC162"/>
    <w:lvl w:ilvl="0" w:tplc="F0EC5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73F5F"/>
    <w:multiLevelType w:val="hybridMultilevel"/>
    <w:tmpl w:val="DFCAF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14BC"/>
    <w:multiLevelType w:val="hybridMultilevel"/>
    <w:tmpl w:val="643CB7D2"/>
    <w:lvl w:ilvl="0" w:tplc="E176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21F5E"/>
    <w:multiLevelType w:val="hybridMultilevel"/>
    <w:tmpl w:val="370E8BF6"/>
    <w:lvl w:ilvl="0" w:tplc="81AC3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86E44"/>
    <w:multiLevelType w:val="hybridMultilevel"/>
    <w:tmpl w:val="98FA27CA"/>
    <w:lvl w:ilvl="0" w:tplc="08363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5435C"/>
    <w:multiLevelType w:val="hybridMultilevel"/>
    <w:tmpl w:val="3DF2BD9A"/>
    <w:lvl w:ilvl="0" w:tplc="2D52F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3294A"/>
    <w:multiLevelType w:val="hybridMultilevel"/>
    <w:tmpl w:val="DEFA9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0D339C"/>
    <w:multiLevelType w:val="hybridMultilevel"/>
    <w:tmpl w:val="6EE23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2C0836"/>
    <w:multiLevelType w:val="hybridMultilevel"/>
    <w:tmpl w:val="7FC2C5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3C784F"/>
    <w:multiLevelType w:val="hybridMultilevel"/>
    <w:tmpl w:val="B6567322"/>
    <w:lvl w:ilvl="0" w:tplc="FB103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455DB"/>
    <w:multiLevelType w:val="hybridMultilevel"/>
    <w:tmpl w:val="104471BC"/>
    <w:lvl w:ilvl="0" w:tplc="D8FA8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DB75F1"/>
    <w:multiLevelType w:val="hybridMultilevel"/>
    <w:tmpl w:val="CCE2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603BE"/>
    <w:multiLevelType w:val="hybridMultilevel"/>
    <w:tmpl w:val="766C8E5A"/>
    <w:lvl w:ilvl="0" w:tplc="E91EA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A933F0"/>
    <w:multiLevelType w:val="hybridMultilevel"/>
    <w:tmpl w:val="851C183C"/>
    <w:lvl w:ilvl="0" w:tplc="2A706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2498C"/>
    <w:multiLevelType w:val="hybridMultilevel"/>
    <w:tmpl w:val="27681292"/>
    <w:lvl w:ilvl="0" w:tplc="D70C9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557BD"/>
    <w:multiLevelType w:val="hybridMultilevel"/>
    <w:tmpl w:val="3B2448B8"/>
    <w:lvl w:ilvl="0" w:tplc="C7EC3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E0812"/>
    <w:multiLevelType w:val="hybridMultilevel"/>
    <w:tmpl w:val="A7B6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268944">
    <w:abstractNumId w:val="21"/>
  </w:num>
  <w:num w:numId="2" w16cid:durableId="615211809">
    <w:abstractNumId w:val="15"/>
  </w:num>
  <w:num w:numId="3" w16cid:durableId="1766998151">
    <w:abstractNumId w:val="10"/>
  </w:num>
  <w:num w:numId="4" w16cid:durableId="1282494413">
    <w:abstractNumId w:val="8"/>
  </w:num>
  <w:num w:numId="5" w16cid:durableId="747776133">
    <w:abstractNumId w:val="5"/>
  </w:num>
  <w:num w:numId="6" w16cid:durableId="1106583335">
    <w:abstractNumId w:val="11"/>
  </w:num>
  <w:num w:numId="7" w16cid:durableId="1940136659">
    <w:abstractNumId w:val="2"/>
  </w:num>
  <w:num w:numId="8" w16cid:durableId="1215583660">
    <w:abstractNumId w:val="1"/>
  </w:num>
  <w:num w:numId="9" w16cid:durableId="2120903554">
    <w:abstractNumId w:val="3"/>
  </w:num>
  <w:num w:numId="10" w16cid:durableId="581836507">
    <w:abstractNumId w:val="20"/>
  </w:num>
  <w:num w:numId="11" w16cid:durableId="875046364">
    <w:abstractNumId w:val="7"/>
  </w:num>
  <w:num w:numId="12" w16cid:durableId="2118451882">
    <w:abstractNumId w:val="0"/>
  </w:num>
  <w:num w:numId="13" w16cid:durableId="132335376">
    <w:abstractNumId w:val="4"/>
  </w:num>
  <w:num w:numId="14" w16cid:durableId="689837545">
    <w:abstractNumId w:val="14"/>
  </w:num>
  <w:num w:numId="15" w16cid:durableId="96869055">
    <w:abstractNumId w:val="12"/>
  </w:num>
  <w:num w:numId="16" w16cid:durableId="724329145">
    <w:abstractNumId w:val="18"/>
  </w:num>
  <w:num w:numId="17" w16cid:durableId="676881563">
    <w:abstractNumId w:val="13"/>
  </w:num>
  <w:num w:numId="18" w16cid:durableId="1336418321">
    <w:abstractNumId w:val="17"/>
  </w:num>
  <w:num w:numId="19" w16cid:durableId="858665240">
    <w:abstractNumId w:val="6"/>
  </w:num>
  <w:num w:numId="20" w16cid:durableId="1583681982">
    <w:abstractNumId w:val="16"/>
  </w:num>
  <w:num w:numId="21" w16cid:durableId="959606647">
    <w:abstractNumId w:val="19"/>
  </w:num>
  <w:num w:numId="22" w16cid:durableId="14310447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3D5"/>
    <w:rsid w:val="00002441"/>
    <w:rsid w:val="00003A36"/>
    <w:rsid w:val="00007973"/>
    <w:rsid w:val="00007CD8"/>
    <w:rsid w:val="00014DDC"/>
    <w:rsid w:val="00016073"/>
    <w:rsid w:val="00025137"/>
    <w:rsid w:val="00026DCE"/>
    <w:rsid w:val="0003328F"/>
    <w:rsid w:val="00051D90"/>
    <w:rsid w:val="000550FA"/>
    <w:rsid w:val="00064D47"/>
    <w:rsid w:val="00071DAB"/>
    <w:rsid w:val="0008632E"/>
    <w:rsid w:val="00090ED1"/>
    <w:rsid w:val="000A4CE0"/>
    <w:rsid w:val="000B54B0"/>
    <w:rsid w:val="000D0405"/>
    <w:rsid w:val="000D16F7"/>
    <w:rsid w:val="000E5FA5"/>
    <w:rsid w:val="0010486C"/>
    <w:rsid w:val="00105285"/>
    <w:rsid w:val="0010635E"/>
    <w:rsid w:val="00110E91"/>
    <w:rsid w:val="00111F17"/>
    <w:rsid w:val="0011790B"/>
    <w:rsid w:val="00125612"/>
    <w:rsid w:val="00132E26"/>
    <w:rsid w:val="00137F2A"/>
    <w:rsid w:val="001423FB"/>
    <w:rsid w:val="001444E8"/>
    <w:rsid w:val="001630F3"/>
    <w:rsid w:val="00166FF9"/>
    <w:rsid w:val="00167F72"/>
    <w:rsid w:val="001834C1"/>
    <w:rsid w:val="001C003B"/>
    <w:rsid w:val="001C34F4"/>
    <w:rsid w:val="001D2638"/>
    <w:rsid w:val="001F4C2A"/>
    <w:rsid w:val="00204EB7"/>
    <w:rsid w:val="0021204E"/>
    <w:rsid w:val="00213FBC"/>
    <w:rsid w:val="0021641E"/>
    <w:rsid w:val="00217F3C"/>
    <w:rsid w:val="0022474C"/>
    <w:rsid w:val="002250B2"/>
    <w:rsid w:val="00241056"/>
    <w:rsid w:val="00241537"/>
    <w:rsid w:val="00254D26"/>
    <w:rsid w:val="00277EC3"/>
    <w:rsid w:val="00285340"/>
    <w:rsid w:val="00285926"/>
    <w:rsid w:val="002873A4"/>
    <w:rsid w:val="002930F3"/>
    <w:rsid w:val="002C0CAB"/>
    <w:rsid w:val="002C1A0A"/>
    <w:rsid w:val="002C46EB"/>
    <w:rsid w:val="002D60C0"/>
    <w:rsid w:val="002D7510"/>
    <w:rsid w:val="002E76BE"/>
    <w:rsid w:val="002F3D85"/>
    <w:rsid w:val="0031208C"/>
    <w:rsid w:val="0031674D"/>
    <w:rsid w:val="0032092A"/>
    <w:rsid w:val="0032745D"/>
    <w:rsid w:val="00352F69"/>
    <w:rsid w:val="00355129"/>
    <w:rsid w:val="00364660"/>
    <w:rsid w:val="00377D32"/>
    <w:rsid w:val="00377F9B"/>
    <w:rsid w:val="003803D5"/>
    <w:rsid w:val="00390F64"/>
    <w:rsid w:val="00391B93"/>
    <w:rsid w:val="003A57A6"/>
    <w:rsid w:val="003A7F9C"/>
    <w:rsid w:val="003B02A8"/>
    <w:rsid w:val="003B1311"/>
    <w:rsid w:val="003C0324"/>
    <w:rsid w:val="003C0FFE"/>
    <w:rsid w:val="003D5446"/>
    <w:rsid w:val="003D6CAF"/>
    <w:rsid w:val="003E79D9"/>
    <w:rsid w:val="003F46A3"/>
    <w:rsid w:val="004144FC"/>
    <w:rsid w:val="004177D6"/>
    <w:rsid w:val="0042403A"/>
    <w:rsid w:val="00433C40"/>
    <w:rsid w:val="00443345"/>
    <w:rsid w:val="004526D5"/>
    <w:rsid w:val="004540F5"/>
    <w:rsid w:val="00454317"/>
    <w:rsid w:val="00465613"/>
    <w:rsid w:val="00467A9E"/>
    <w:rsid w:val="00480ABB"/>
    <w:rsid w:val="004818F9"/>
    <w:rsid w:val="004828A1"/>
    <w:rsid w:val="00487F63"/>
    <w:rsid w:val="00497615"/>
    <w:rsid w:val="004A3841"/>
    <w:rsid w:val="004C6E1E"/>
    <w:rsid w:val="004D6166"/>
    <w:rsid w:val="004E6065"/>
    <w:rsid w:val="005244B5"/>
    <w:rsid w:val="005249FD"/>
    <w:rsid w:val="00524ED7"/>
    <w:rsid w:val="0052606D"/>
    <w:rsid w:val="005348D7"/>
    <w:rsid w:val="005411E1"/>
    <w:rsid w:val="00551942"/>
    <w:rsid w:val="00574107"/>
    <w:rsid w:val="005912CE"/>
    <w:rsid w:val="005A33D5"/>
    <w:rsid w:val="005C1EDA"/>
    <w:rsid w:val="005C3F55"/>
    <w:rsid w:val="005D16DB"/>
    <w:rsid w:val="005D2B8C"/>
    <w:rsid w:val="005D3D3D"/>
    <w:rsid w:val="005D521A"/>
    <w:rsid w:val="005D5677"/>
    <w:rsid w:val="005E6A9A"/>
    <w:rsid w:val="005E7E03"/>
    <w:rsid w:val="005F3BBE"/>
    <w:rsid w:val="005F3CBE"/>
    <w:rsid w:val="00601E9E"/>
    <w:rsid w:val="006116BE"/>
    <w:rsid w:val="0061749A"/>
    <w:rsid w:val="006215D4"/>
    <w:rsid w:val="0062611C"/>
    <w:rsid w:val="00636035"/>
    <w:rsid w:val="006538EE"/>
    <w:rsid w:val="00660901"/>
    <w:rsid w:val="00664AA5"/>
    <w:rsid w:val="00680D38"/>
    <w:rsid w:val="0069220C"/>
    <w:rsid w:val="006977A8"/>
    <w:rsid w:val="006A3860"/>
    <w:rsid w:val="006A5A84"/>
    <w:rsid w:val="006C78A3"/>
    <w:rsid w:val="006D5CEA"/>
    <w:rsid w:val="006E12F5"/>
    <w:rsid w:val="006E1CFF"/>
    <w:rsid w:val="006E72A3"/>
    <w:rsid w:val="006F07ED"/>
    <w:rsid w:val="006F760B"/>
    <w:rsid w:val="00701478"/>
    <w:rsid w:val="00703638"/>
    <w:rsid w:val="00707AAF"/>
    <w:rsid w:val="0071318A"/>
    <w:rsid w:val="00724338"/>
    <w:rsid w:val="0075408A"/>
    <w:rsid w:val="007633C7"/>
    <w:rsid w:val="00763C47"/>
    <w:rsid w:val="00765832"/>
    <w:rsid w:val="00772AB0"/>
    <w:rsid w:val="007803D2"/>
    <w:rsid w:val="00786092"/>
    <w:rsid w:val="00791287"/>
    <w:rsid w:val="007A20D4"/>
    <w:rsid w:val="007A2323"/>
    <w:rsid w:val="007A5BE9"/>
    <w:rsid w:val="007B5398"/>
    <w:rsid w:val="007B56CB"/>
    <w:rsid w:val="007C3FBF"/>
    <w:rsid w:val="007D00BC"/>
    <w:rsid w:val="007D4752"/>
    <w:rsid w:val="007D4C74"/>
    <w:rsid w:val="007E33CE"/>
    <w:rsid w:val="008152AA"/>
    <w:rsid w:val="00820CF6"/>
    <w:rsid w:val="008423B9"/>
    <w:rsid w:val="00845C8A"/>
    <w:rsid w:val="00847197"/>
    <w:rsid w:val="00850E81"/>
    <w:rsid w:val="00867046"/>
    <w:rsid w:val="00876445"/>
    <w:rsid w:val="008932C7"/>
    <w:rsid w:val="008A0019"/>
    <w:rsid w:val="008A2842"/>
    <w:rsid w:val="008A412E"/>
    <w:rsid w:val="008A580F"/>
    <w:rsid w:val="008C1F1F"/>
    <w:rsid w:val="008E0E51"/>
    <w:rsid w:val="008E1786"/>
    <w:rsid w:val="008F54DF"/>
    <w:rsid w:val="008F7E07"/>
    <w:rsid w:val="009233B6"/>
    <w:rsid w:val="00924798"/>
    <w:rsid w:val="009267CD"/>
    <w:rsid w:val="009346B8"/>
    <w:rsid w:val="0094251D"/>
    <w:rsid w:val="009436C5"/>
    <w:rsid w:val="00944BF7"/>
    <w:rsid w:val="00947115"/>
    <w:rsid w:val="00950F02"/>
    <w:rsid w:val="00965FA8"/>
    <w:rsid w:val="0097641F"/>
    <w:rsid w:val="00981159"/>
    <w:rsid w:val="00982CFB"/>
    <w:rsid w:val="009A4276"/>
    <w:rsid w:val="009A49F8"/>
    <w:rsid w:val="009A7384"/>
    <w:rsid w:val="009C2FDA"/>
    <w:rsid w:val="009C7A4B"/>
    <w:rsid w:val="009D256A"/>
    <w:rsid w:val="009E1CA4"/>
    <w:rsid w:val="009E345A"/>
    <w:rsid w:val="00A003F5"/>
    <w:rsid w:val="00A03572"/>
    <w:rsid w:val="00A05F30"/>
    <w:rsid w:val="00A07B29"/>
    <w:rsid w:val="00A110E0"/>
    <w:rsid w:val="00A217FE"/>
    <w:rsid w:val="00A3625E"/>
    <w:rsid w:val="00A5109C"/>
    <w:rsid w:val="00A61D75"/>
    <w:rsid w:val="00A679BD"/>
    <w:rsid w:val="00A821B5"/>
    <w:rsid w:val="00AA5619"/>
    <w:rsid w:val="00AA5F92"/>
    <w:rsid w:val="00AA6400"/>
    <w:rsid w:val="00AC32EF"/>
    <w:rsid w:val="00AC6873"/>
    <w:rsid w:val="00AC6BB9"/>
    <w:rsid w:val="00AE2AB5"/>
    <w:rsid w:val="00AF0FFA"/>
    <w:rsid w:val="00AF1EA3"/>
    <w:rsid w:val="00AF248A"/>
    <w:rsid w:val="00AF4413"/>
    <w:rsid w:val="00AF4F67"/>
    <w:rsid w:val="00B01416"/>
    <w:rsid w:val="00B059AD"/>
    <w:rsid w:val="00B1089F"/>
    <w:rsid w:val="00B13C20"/>
    <w:rsid w:val="00B24795"/>
    <w:rsid w:val="00B32F0A"/>
    <w:rsid w:val="00B36421"/>
    <w:rsid w:val="00B539B3"/>
    <w:rsid w:val="00B56039"/>
    <w:rsid w:val="00B811B8"/>
    <w:rsid w:val="00BA5A21"/>
    <w:rsid w:val="00BB33E9"/>
    <w:rsid w:val="00BC0A63"/>
    <w:rsid w:val="00BC4E82"/>
    <w:rsid w:val="00BC769B"/>
    <w:rsid w:val="00BD0585"/>
    <w:rsid w:val="00BE1A56"/>
    <w:rsid w:val="00BE4AB6"/>
    <w:rsid w:val="00BF1254"/>
    <w:rsid w:val="00BF2D51"/>
    <w:rsid w:val="00BF2E38"/>
    <w:rsid w:val="00BF65F7"/>
    <w:rsid w:val="00C10982"/>
    <w:rsid w:val="00C13145"/>
    <w:rsid w:val="00C142BD"/>
    <w:rsid w:val="00C26973"/>
    <w:rsid w:val="00C315F8"/>
    <w:rsid w:val="00C42939"/>
    <w:rsid w:val="00C461BF"/>
    <w:rsid w:val="00C52BE6"/>
    <w:rsid w:val="00C70AD5"/>
    <w:rsid w:val="00C73C9C"/>
    <w:rsid w:val="00C83F96"/>
    <w:rsid w:val="00C96748"/>
    <w:rsid w:val="00CA485E"/>
    <w:rsid w:val="00CA5DDF"/>
    <w:rsid w:val="00CB3911"/>
    <w:rsid w:val="00CC2BC5"/>
    <w:rsid w:val="00CD105F"/>
    <w:rsid w:val="00CD5B48"/>
    <w:rsid w:val="00CE2A21"/>
    <w:rsid w:val="00CE627D"/>
    <w:rsid w:val="00CE652D"/>
    <w:rsid w:val="00CF0BFD"/>
    <w:rsid w:val="00D00D80"/>
    <w:rsid w:val="00D26A7A"/>
    <w:rsid w:val="00D301FA"/>
    <w:rsid w:val="00D41ADE"/>
    <w:rsid w:val="00D54ABF"/>
    <w:rsid w:val="00D60228"/>
    <w:rsid w:val="00D63FB6"/>
    <w:rsid w:val="00D710CE"/>
    <w:rsid w:val="00D84088"/>
    <w:rsid w:val="00D84935"/>
    <w:rsid w:val="00D85191"/>
    <w:rsid w:val="00DA4071"/>
    <w:rsid w:val="00DA4B86"/>
    <w:rsid w:val="00DB0D38"/>
    <w:rsid w:val="00DB430B"/>
    <w:rsid w:val="00DB4E23"/>
    <w:rsid w:val="00DB7894"/>
    <w:rsid w:val="00DC0DC1"/>
    <w:rsid w:val="00DC6796"/>
    <w:rsid w:val="00DC7B02"/>
    <w:rsid w:val="00DD281D"/>
    <w:rsid w:val="00DF24DB"/>
    <w:rsid w:val="00DF6B73"/>
    <w:rsid w:val="00DF7ADD"/>
    <w:rsid w:val="00E15C84"/>
    <w:rsid w:val="00E1678B"/>
    <w:rsid w:val="00E25942"/>
    <w:rsid w:val="00E266B4"/>
    <w:rsid w:val="00E27151"/>
    <w:rsid w:val="00E332D3"/>
    <w:rsid w:val="00E35EF9"/>
    <w:rsid w:val="00E44120"/>
    <w:rsid w:val="00E61268"/>
    <w:rsid w:val="00E6194A"/>
    <w:rsid w:val="00E64E21"/>
    <w:rsid w:val="00E71EB7"/>
    <w:rsid w:val="00E722D8"/>
    <w:rsid w:val="00E86AA9"/>
    <w:rsid w:val="00E86DFC"/>
    <w:rsid w:val="00E943AC"/>
    <w:rsid w:val="00E95EC6"/>
    <w:rsid w:val="00E9694D"/>
    <w:rsid w:val="00EB5110"/>
    <w:rsid w:val="00EC4E09"/>
    <w:rsid w:val="00EE05E1"/>
    <w:rsid w:val="00EE3C26"/>
    <w:rsid w:val="00EF31B3"/>
    <w:rsid w:val="00EF3CBF"/>
    <w:rsid w:val="00F0327C"/>
    <w:rsid w:val="00F157FE"/>
    <w:rsid w:val="00F27B7A"/>
    <w:rsid w:val="00F413C0"/>
    <w:rsid w:val="00F579B4"/>
    <w:rsid w:val="00F6222D"/>
    <w:rsid w:val="00F625FE"/>
    <w:rsid w:val="00F67725"/>
    <w:rsid w:val="00F70786"/>
    <w:rsid w:val="00F80352"/>
    <w:rsid w:val="00F83459"/>
    <w:rsid w:val="00F86A3C"/>
    <w:rsid w:val="00FA6BC1"/>
    <w:rsid w:val="00FB25A9"/>
    <w:rsid w:val="00FB32C2"/>
    <w:rsid w:val="00FB5DA8"/>
    <w:rsid w:val="00FC0F9D"/>
    <w:rsid w:val="00FC18CD"/>
    <w:rsid w:val="00FC236D"/>
    <w:rsid w:val="00FC2DE2"/>
    <w:rsid w:val="00FD464C"/>
    <w:rsid w:val="00FE099A"/>
    <w:rsid w:val="00FE2921"/>
    <w:rsid w:val="00FF16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D211"/>
  <w15:docId w15:val="{4A5BA234-C72C-4427-9600-5FA116C3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  <w:style w:type="character" w:customStyle="1" w:styleId="Styl1Znak">
    <w:name w:val="Styl1 Znak"/>
    <w:basedOn w:val="Domylnaczcionkaakapitu"/>
    <w:link w:val="Styl1"/>
    <w:locked/>
    <w:rsid w:val="009E345A"/>
    <w:rPr>
      <w:rFonts w:ascii="Calibri" w:hAnsi="Calibri" w:cs="Calibri"/>
      <w:b/>
      <w:bCs/>
    </w:rPr>
  </w:style>
  <w:style w:type="paragraph" w:customStyle="1" w:styleId="Styl1">
    <w:name w:val="Styl1"/>
    <w:basedOn w:val="Normalny"/>
    <w:link w:val="Styl1Znak"/>
    <w:qFormat/>
    <w:rsid w:val="009E345A"/>
    <w:pPr>
      <w:spacing w:after="0" w:line="240" w:lineRule="auto"/>
      <w:ind w:left="1778" w:hanging="360"/>
      <w:contextualSpacing/>
      <w:jc w:val="both"/>
    </w:pPr>
    <w:rPr>
      <w:rFonts w:ascii="Calibri" w:hAnsi="Calibri" w:cs="Calibri"/>
      <w:b/>
      <w:bCs/>
    </w:rPr>
  </w:style>
  <w:style w:type="table" w:customStyle="1" w:styleId="StylTabeli">
    <w:name w:val="Styl_Tabeli"/>
    <w:basedOn w:val="Standardowy"/>
    <w:uiPriority w:val="99"/>
    <w:rsid w:val="00BC0A63"/>
    <w:pPr>
      <w:spacing w:before="60" w:after="60" w:line="240" w:lineRule="auto"/>
    </w:pPr>
    <w:rPr>
      <w:rFonts w:ascii="Calibri" w:eastAsia="Calibri" w:hAnsi="Calibri" w:cs="Times New Roman"/>
      <w:szCs w:val="20"/>
      <w:lang w:eastAsia="pl-PL"/>
    </w:rPr>
    <w:tblPr>
      <w:tblStyleRowBandSize w:val="2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rFonts w:ascii="Calibri" w:hAnsi="Calibri"/>
        <w:b/>
        <w:sz w:val="22"/>
      </w:rPr>
      <w:tblPr/>
      <w:tcPr>
        <w:shd w:val="clear" w:color="auto" w:fill="89D1DB"/>
      </w:tcPr>
    </w:tblStylePr>
  </w:style>
  <w:style w:type="paragraph" w:customStyle="1" w:styleId="Styl2">
    <w:name w:val="Styl2"/>
    <w:basedOn w:val="Akapitzlist"/>
    <w:qFormat/>
    <w:rsid w:val="00BF65F7"/>
    <w:pPr>
      <w:spacing w:after="0" w:line="240" w:lineRule="auto"/>
      <w:ind w:left="1429" w:hanging="720"/>
      <w:outlineLvl w:val="2"/>
    </w:pPr>
    <w:rPr>
      <w:rFonts w:ascii="Calibri" w:hAnsi="Calibri" w:cs="Times New Roman"/>
      <w:b/>
      <w:sz w:val="24"/>
      <w:szCs w:val="24"/>
      <w:u w:val="single"/>
    </w:rPr>
  </w:style>
  <w:style w:type="paragraph" w:customStyle="1" w:styleId="Styl3">
    <w:name w:val="Styl3"/>
    <w:basedOn w:val="Styl2"/>
    <w:qFormat/>
    <w:rsid w:val="00BF65F7"/>
    <w:pPr>
      <w:ind w:left="1211" w:hanging="360"/>
      <w:outlineLvl w:val="1"/>
    </w:pPr>
  </w:style>
  <w:style w:type="character" w:styleId="Hipercze">
    <w:name w:val="Hyperlink"/>
    <w:basedOn w:val="Domylnaczcionkaakapitu"/>
    <w:uiPriority w:val="99"/>
    <w:semiHidden/>
    <w:unhideWhenUsed/>
    <w:rsid w:val="00F707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F730-71CE-4366-BE4D-586EDFB8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 Violetta</dc:creator>
  <cp:lastModifiedBy>Lipka Violetta (01000166)</cp:lastModifiedBy>
  <cp:revision>72</cp:revision>
  <cp:lastPrinted>2023-05-23T06:50:00Z</cp:lastPrinted>
  <dcterms:created xsi:type="dcterms:W3CDTF">2022-08-24T10:54:00Z</dcterms:created>
  <dcterms:modified xsi:type="dcterms:W3CDTF">2023-05-24T08:27:00Z</dcterms:modified>
</cp:coreProperties>
</file>